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28"/>
              <w:left w:val="single" w:color="8B6914" w:sz="28"/>
              <w:bottom w:val="single" w:color="8B6914" w:sz="28"/>
              <w:right w:val="single" w:color="8B6914" w:sz="28"/>
            </w:tcBorders>
            <w:shd w:fill="1A3A5C" w:val="clear"/>
            <w:tcMar>
              <w:top w:type="dxa" w:w="700"/>
              <w:left w:type="dxa" w:w="520"/>
              <w:bottom w:type="dxa" w:w="700"/>
              <w:right w:type="dxa" w:w="520"/>
            </w:tcMar>
          </w:tcPr>
          <w:p>
            <w:pPr>
              <w:spacing w:after="80" w:before="200"/>
              <w:jc w:val="center"/>
            </w:pPr>
            <w:r>
              <w:rPr>
                <w:rFonts w:ascii="Arial" w:cs="Arial" w:eastAsia="Arial" w:hAnsi="Arial"/>
                <w:b/>
                <w:bCs/>
                <w:color w:val="FFFFFF"/>
                <w:sz w:val="60"/>
                <w:szCs w:val="60"/>
              </w:rPr>
              <w:t xml:space="preserve">DOKTER YANG UTUH</w:t>
            </w:r>
          </w:p>
          <w:p>
            <w:pPr>
              <w:spacing w:after="60" w:before="0"/>
              <w:jc w:val="center"/>
            </w:pPr>
            <w:r>
              <w:rPr>
                <w:rFonts w:ascii="Arial" w:cs="Arial" w:eastAsia="Arial" w:hAnsi="Arial"/>
                <w:color w:val="8B6914"/>
                <w:sz w:val="28"/>
                <w:szCs w:val="28"/>
              </w:rPr>
              <w:t xml:space="preserve">────────────────────────</w:t>
            </w:r>
          </w:p>
          <w:p>
            <w:pPr>
              <w:spacing w:after="60" w:before="60"/>
              <w:jc w:val="center"/>
            </w:pPr>
            <w:r>
              <w:rPr>
                <w:rFonts w:ascii="Arial" w:cs="Arial" w:eastAsia="Arial" w:hAnsi="Arial"/>
                <w:i/>
                <w:iCs/>
                <w:color w:val="D6EAF8"/>
                <w:sz w:val="30"/>
                <w:szCs w:val="30"/>
              </w:rPr>
              <w:t xml:space="preserve">Integrasi Ilmu Kedokteran dan Akhlak Islami</w:t>
            </w:r>
          </w:p>
          <w:p>
            <w:pPr>
              <w:spacing w:after="50" w:before="400"/>
              <w:jc w:val="center"/>
            </w:pPr>
            <w:r>
              <w:rPr>
                <w:rFonts w:ascii="Arial" w:cs="Arial" w:eastAsia="Arial" w:hAnsi="Arial"/>
                <w:color w:val="AED6F1"/>
                <w:sz w:val="22"/>
                <w:szCs w:val="22"/>
              </w:rPr>
              <w:t xml:space="preserve">Dr.dr. Budi Siswanto, Sp.OG., Subsp.Obginsos., SH., S.Kom.</w:t>
            </w:r>
          </w:p>
          <w:p>
            <w:pPr>
              <w:spacing w:after="30" w:before="300"/>
              <w:jc w:val="center"/>
            </w:pPr>
            <w:r>
              <w:rPr>
                <w:rFonts w:ascii="Arial" w:cs="Arial" w:eastAsia="Arial" w:hAnsi="Arial"/>
                <w:color w:val="AED6F1"/>
                <w:sz w:val="18"/>
                <w:szCs w:val="18"/>
              </w:rPr>
              <w:t xml:space="preserve">Program Studi Pendidikan Dokter</w:t>
            </w:r>
          </w:p>
          <w:p>
            <w:pPr>
              <w:spacing w:after="30" w:before="0"/>
              <w:jc w:val="center"/>
            </w:pPr>
            <w:r>
              <w:rPr>
                <w:rFonts w:ascii="Arial" w:cs="Arial" w:eastAsia="Arial" w:hAnsi="Arial"/>
                <w:color w:val="AED6F1"/>
                <w:sz w:val="18"/>
                <w:szCs w:val="18"/>
              </w:rPr>
              <w:t xml:space="preserve">Fakultas Kedokteran dan Ilmu Kesehatan</w:t>
            </w:r>
          </w:p>
          <w:p>
            <w:pPr>
              <w:spacing w:after="50" w:before="0"/>
              <w:jc w:val="center"/>
            </w:pPr>
            <w:r>
              <w:rPr>
                <w:rFonts w:ascii="Arial" w:cs="Arial" w:eastAsia="Arial" w:hAnsi="Arial"/>
                <w:color w:val="AED6F1"/>
                <w:sz w:val="18"/>
                <w:szCs w:val="18"/>
              </w:rPr>
              <w:t xml:space="preserve">Universitas Islam Negeri Maulana Malik Ibrahim Malang</w:t>
            </w:r>
          </w:p>
          <w:p>
            <w:pPr>
              <w:spacing w:after="30" w:before="200"/>
              <w:jc w:val="center"/>
            </w:pPr>
            <w:r>
              <w:rPr>
                <w:rFonts w:ascii="Arial" w:cs="Arial" w:eastAsia="Arial" w:hAnsi="Arial"/>
                <w:color w:val="AED6F1"/>
                <w:sz w:val="18"/>
                <w:szCs w:val="18"/>
              </w:rPr>
              <w:t xml:space="preserve">Perpustakaan Digital ABBA • Malang • 2026</w:t>
            </w:r>
          </w:p>
        </w:tc>
      </w:tr>
    </w:tbl>
    <w:p>
      <w:r>
        <w:br w:type="page"/>
      </w:r>
    </w:p>
    <w:p>
      <w:pPr>
        <w:pStyle w:val="Heading1"/>
        <w:spacing w:after="220" w:before="440"/>
      </w:pPr>
      <w:r>
        <w:rPr>
          <w:rFonts w:ascii="Arial" w:cs="Arial" w:eastAsia="Arial" w:hAnsi="Arial"/>
          <w:b/>
          <w:bCs/>
          <w:color w:val="1A3A5C"/>
          <w:sz w:val="40"/>
          <w:szCs w:val="40"/>
        </w:rPr>
        <w:t xml:space="preserve">Dokter yang Utuh:
Integrasi Ilmu Kedokteran dan Akhlak Islami</w:t>
      </w:r>
    </w:p>
    <w:p>
      <w:pPr>
        <w:spacing w:after="100" w:before="0"/>
      </w:pPr>
      <w:r>
        <w:t xml:space="preserve"/>
      </w:r>
    </w:p>
    <w:p>
      <w:pPr>
        <w:spacing w:after="30" w:before="40"/>
      </w:pPr>
      <w:r>
        <w:rPr>
          <w:rFonts w:ascii="Arial" w:cs="Arial" w:eastAsia="Arial" w:hAnsi="Arial"/>
          <w:b/>
          <w:bCs/>
          <w:color w:val="1A3A5C"/>
          <w:sz w:val="22"/>
          <w:szCs w:val="22"/>
        </w:rPr>
        <w:t xml:space="preserve">Penulis: </w:t>
      </w:r>
      <w:r>
        <w:rPr>
          <w:rFonts w:ascii="Arial" w:cs="Arial" w:eastAsia="Arial" w:hAnsi="Arial"/>
          <w:sz w:val="22"/>
          <w:szCs w:val="22"/>
        </w:rPr>
        <w:t xml:space="preserve">Dr.dr. Budi Siswanto, Sp.OG., Subsp.Obginsos., SH., S.Kom.</w:t>
      </w:r>
    </w:p>
    <w:p>
      <w:pPr>
        <w:spacing w:after="100" w:before="0"/>
      </w:pPr>
      <w:r>
        <w:t xml:space="preserve"/>
      </w:r>
    </w:p>
    <w:p>
      <w:pPr>
        <w:spacing w:after="30" w:before="40"/>
      </w:pPr>
      <w:r>
        <w:rPr>
          <w:rFonts w:ascii="Arial" w:cs="Arial" w:eastAsia="Arial" w:hAnsi="Arial"/>
          <w:b/>
          <w:bCs/>
          <w:color w:val="1A3A5C"/>
          <w:sz w:val="22"/>
          <w:szCs w:val="22"/>
        </w:rPr>
        <w:t xml:space="preserve">Diperuntukkan bagi: </w:t>
      </w:r>
      <w:r>
        <w:rPr>
          <w:rFonts w:ascii="Arial" w:cs="Arial" w:eastAsia="Arial" w:hAnsi="Arial"/>
          <w:sz w:val="22"/>
          <w:szCs w:val="22"/>
        </w:rPr>
        <w:t xml:space="preserve">Mata Kuliah Humaniora Kedokteran, Program Studi Pendidikan Dokter, Fakultas Kedokteran dan Ilmu Kesehatan, Universitas Islam Negeri Maulana Malik Ibrahim Malang</w:t>
      </w:r>
    </w:p>
    <w:p>
      <w:pPr>
        <w:spacing w:after="100" w:before="0"/>
      </w:pPr>
      <w:r>
        <w:t xml:space="preserve"/>
      </w:r>
    </w:p>
    <w:p>
      <w:pPr>
        <w:spacing w:after="30" w:before="40"/>
      </w:pPr>
      <w:r>
        <w:rPr>
          <w:rFonts w:ascii="Arial" w:cs="Arial" w:eastAsia="Arial" w:hAnsi="Arial"/>
          <w:b/>
          <w:bCs/>
          <w:color w:val="1A3A5C"/>
          <w:sz w:val="22"/>
          <w:szCs w:val="22"/>
        </w:rPr>
        <w:t xml:space="preserve">Penerbit: </w:t>
      </w:r>
      <w:r>
        <w:rPr>
          <w:rFonts w:ascii="Arial" w:cs="Arial" w:eastAsia="Arial" w:hAnsi="Arial"/>
          <w:sz w:val="22"/>
          <w:szCs w:val="22"/>
        </w:rPr>
        <w:t xml:space="preserve">Perpustakaan Digital ABBA</w:t>
      </w:r>
    </w:p>
    <w:p>
      <w:pPr>
        <w:spacing w:after="30" w:before="40"/>
      </w:pPr>
      <w:r>
        <w:rPr>
          <w:rFonts w:ascii="Arial" w:cs="Arial" w:eastAsia="Arial" w:hAnsi="Arial"/>
          <w:b/>
          <w:bCs/>
          <w:color w:val="1A3A5C"/>
          <w:sz w:val="22"/>
          <w:szCs w:val="22"/>
        </w:rPr>
        <w:t xml:space="preserve">Alamat: </w:t>
      </w:r>
      <w:r>
        <w:rPr>
          <w:rFonts w:ascii="Arial" w:cs="Arial" w:eastAsia="Arial" w:hAnsi="Arial"/>
          <w:sz w:val="22"/>
          <w:szCs w:val="22"/>
        </w:rPr>
        <w:t xml:space="preserve">Jl. Kerinci Raya No. 9 Malang 65138</w:t>
      </w:r>
    </w:p>
    <w:p>
      <w:pPr>
        <w:spacing w:after="100" w:before="0"/>
      </w:pPr>
      <w:r>
        <w:t xml:space="preserve"/>
      </w:r>
    </w:p>
    <w:p>
      <w:pPr>
        <w:spacing w:after="30" w:before="40"/>
      </w:pPr>
      <w:r>
        <w:rPr>
          <w:rFonts w:ascii="Arial" w:cs="Arial" w:eastAsia="Arial" w:hAnsi="Arial"/>
          <w:b/>
          <w:bCs/>
          <w:color w:val="1A3A5C"/>
          <w:sz w:val="22"/>
          <w:szCs w:val="22"/>
        </w:rPr>
        <w:t xml:space="preserve">Cetakan Pertama: </w:t>
      </w:r>
      <w:r>
        <w:rPr>
          <w:rFonts w:ascii="Arial" w:cs="Arial" w:eastAsia="Arial" w:hAnsi="Arial"/>
          <w:sz w:val="22"/>
          <w:szCs w:val="22"/>
        </w:rPr>
        <w:t xml:space="preserve">Mei 2026</w:t>
      </w:r>
    </w:p>
    <w:p>
      <w:pPr>
        <w:spacing w:after="100" w:before="0"/>
      </w:pPr>
      <w:r>
        <w:t xml:space="preserve"/>
      </w:r>
    </w:p>
    <w:p>
      <w:pPr>
        <w:spacing w:after="80" w:before="40"/>
        <w:jc w:val="both"/>
      </w:pPr>
      <w:r>
        <w:rPr>
          <w:rFonts w:ascii="Arial" w:cs="Arial" w:eastAsia="Arial" w:hAnsi="Arial"/>
          <w:i/>
          <w:iCs/>
          <w:color w:val="555555"/>
          <w:sz w:val="20"/>
          <w:szCs w:val="20"/>
        </w:rPr>
        <w:t xml:space="preserve">Hak Cipta dilindungi Undang-Undang. Dilarang memperbanyak tanpa izin tertulis dari penerbit.</w:t>
      </w:r>
    </w:p>
    <w:p>
      <w:r>
        <w:br w:type="page"/>
      </w:r>
    </w:p>
    <w:p>
      <w:pPr>
        <w:pStyle w:val="Heading1"/>
        <w:spacing w:after="220" w:before="440"/>
      </w:pPr>
      <w:r>
        <w:rPr>
          <w:rFonts w:ascii="Arial" w:cs="Arial" w:eastAsia="Arial" w:hAnsi="Arial"/>
          <w:b/>
          <w:bCs/>
          <w:color w:val="1A3A5C"/>
          <w:sz w:val="40"/>
          <w:szCs w:val="40"/>
        </w:rPr>
        <w:t xml:space="preserve">KATA PENGANTAR</w:t>
      </w:r>
    </w:p>
    <w:p>
      <w:pPr>
        <w:spacing w:after="140" w:before="100" w:line="380" w:lineRule="auto"/>
        <w:jc w:val="both"/>
      </w:pPr>
      <w:r>
        <w:rPr>
          <w:rFonts w:ascii="Arial" w:cs="Arial" w:eastAsia="Arial" w:hAnsi="Arial"/>
          <w:color w:val="1C2833"/>
          <w:sz w:val="22"/>
          <w:szCs w:val="22"/>
        </w:rPr>
        <w:t xml:space="preserve">Bismillahirrahmanirrahim. Puji syukur kehadirat Allah SWT yang telah menurunkan ilmu sebagai cahaya bagi manusia dan menjadikan profesi penyembuhan sebagai salah satu bentuk rahmat-Nya bagi sesama makhluk. Shalawat dan salam senantiasa tercurah kepada Nabi Muhammad SAW, teladan akhlak yang sempurna bagi seluruh umat manusia.</w:t>
      </w:r>
    </w:p>
    <w:p>
      <w:pPr>
        <w:spacing w:after="140" w:before="100" w:line="380" w:lineRule="auto"/>
        <w:jc w:val="both"/>
      </w:pPr>
      <w:r>
        <w:rPr>
          <w:rFonts w:ascii="Arial" w:cs="Arial" w:eastAsia="Arial" w:hAnsi="Arial"/>
          <w:color w:val="1C2833"/>
          <w:sz w:val="22"/>
          <w:szCs w:val="22"/>
        </w:rPr>
        <w:t xml:space="preserve">Buku ajar "Dokter yang Utuh: Integrasi Ilmu Kedokteran dan Akhlak Islami" hadir untuk menjawab kebutuhan yang sangat mendasar di lingkungan pendidikan kedokteran berbasis nilai-nilai Islam: bagaimana mendidik dokter yang tidak hanya unggul secara keilmuan dan keterampilan klinis, tetapi juga kokoh fondasi akidah dan akhlaknya. Ini bukan sekadar penambahan ornamen keislaman pada buku kedokteran konvensional, melainkan integrasi yang sesungguhnya antara dua tradisi keilmuan yang sejatinya satu: ilmu tentang manusia dari perspektif sains dan ilmu tentang manusia dari perspektif wahyu.</w:t>
      </w:r>
    </w:p>
    <w:p>
      <w:pPr>
        <w:spacing w:after="140" w:before="100" w:line="380" w:lineRule="auto"/>
        <w:jc w:val="both"/>
      </w:pPr>
      <w:r>
        <w:rPr>
          <w:rFonts w:ascii="Arial" w:cs="Arial" w:eastAsia="Arial" w:hAnsi="Arial"/>
          <w:color w:val="1C2833"/>
          <w:sz w:val="22"/>
          <w:szCs w:val="22"/>
        </w:rPr>
        <w:t xml:space="preserve">Tradisi keilmuan Islam memiliki warisan yang luar biasa kaya dalam dunia kedokteran. Ibnu Sina (Avicenna, 980-1037 M) dengan Al-Qanun fi al-Tibb-nya menjadi rujukan standar pendidikan kedokteran di Eropa selama lebih dari enam abad. Al-Razi merintis metode diagnosis diferensial. Ibnu Nafis menemukan sirkulasi paru tiga abad sebelum William Harvey. Warisan ini menegaskan bahwa antara ilmu kedokteran modern dan nilai-nilai Islam tidak ada pertentangan hakiki.</w:t>
      </w:r>
    </w:p>
    <w:p>
      <w:pPr>
        <w:spacing w:after="140" w:before="100" w:line="380" w:lineRule="auto"/>
        <w:jc w:val="both"/>
      </w:pPr>
      <w:r>
        <w:rPr>
          <w:rFonts w:ascii="Arial" w:cs="Arial" w:eastAsia="Arial" w:hAnsi="Arial"/>
          <w:color w:val="1C2833"/>
          <w:sz w:val="22"/>
          <w:szCs w:val="22"/>
        </w:rPr>
        <w:t xml:space="preserve">Buku ini disusun dengan tetap menjaga kerangka akademik dan ilmiah yang ketat sebagaimana layaknya buku ajar di lingkungan perguruan tinggi. Seluruh referensi ilmiah dilengkapi DOI (Digital Object Identifier) yang dapat diakses melalui https://doi.org/atau URL resmi lembaga penerbit yang terverifikasi aktif per Juli 2026. Rujukan Al-Qur'an dan hadits dicantumkan dengan sumber yang dapat diverifikasi sesuai kaidah penulisan ilmiah Islam.</w:t>
      </w:r>
    </w:p>
    <w:p>
      <w:pPr>
        <w:spacing w:after="0" w:before="200"/>
        <w:jc w:val="right"/>
      </w:pPr>
      <w:r>
        <w:rPr>
          <w:rFonts w:ascii="Arial" w:cs="Arial" w:eastAsia="Arial" w:hAnsi="Arial"/>
          <w:sz w:val="22"/>
          <w:szCs w:val="22"/>
        </w:rPr>
        <w:t xml:space="preserve">Malang, Mei 2026</w:t>
      </w:r>
    </w:p>
    <w:p>
      <w:pPr>
        <w:spacing w:after="0" w:before="0"/>
        <w:jc w:val="right"/>
      </w:pPr>
      <w:r>
        <w:rPr>
          <w:rFonts w:ascii="Arial" w:cs="Arial" w:eastAsia="Arial" w:hAnsi="Arial"/>
          <w:b/>
          <w:bCs/>
          <w:sz w:val="22"/>
          <w:szCs w:val="22"/>
        </w:rPr>
        <w:t xml:space="preserve">Perpustakaan Digital ABBA</w:t>
      </w:r>
    </w:p>
    <w:p>
      <w:r>
        <w:br w:type="page"/>
      </w:r>
    </w:p>
    <w:p>
      <w:pPr>
        <w:pStyle w:val="Heading1"/>
        <w:spacing w:after="220" w:before="440"/>
      </w:pPr>
      <w:r>
        <w:rPr>
          <w:rFonts w:ascii="Arial" w:cs="Arial" w:eastAsia="Arial" w:hAnsi="Arial"/>
          <w:b/>
          <w:bCs/>
          <w:color w:val="1A3A5C"/>
          <w:sz w:val="40"/>
          <w:szCs w:val="40"/>
        </w:rPr>
        <w:t xml:space="preserve">PRAKATA PENULIS</w:t>
      </w:r>
    </w:p>
    <w:p>
      <w:pPr>
        <w:spacing w:after="140" w:before="100" w:line="380" w:lineRule="auto"/>
        <w:jc w:val="both"/>
      </w:pPr>
      <w:r>
        <w:rPr>
          <w:rFonts w:ascii="Arial" w:cs="Arial" w:eastAsia="Arial" w:hAnsi="Arial"/>
          <w:color w:val="1C2833"/>
          <w:sz w:val="22"/>
          <w:szCs w:val="22"/>
        </w:rPr>
        <w:t xml:space="preserve">Alhamdulillah, segala puji dan syukur kepada Allah SWT. Perjalanan menulis buku ini dimulai dari kegelisahan yang saya bawa selama lebih dari tiga dekade bergelut di dunia kesehatan Indonesia — dari Puskesmas di pelosok Pacitan hingga jabatan Wakil Direktur Pendidikan di RSUD Dr. Saiful Anwar Malang, dari kamar operasi hingga ruang pengadilan sebagai advokat.</w:t>
      </w:r>
    </w:p>
    <w:p>
      <w:pPr>
        <w:spacing w:after="140" w:before="100" w:line="380" w:lineRule="auto"/>
        <w:jc w:val="both"/>
      </w:pPr>
      <w:r>
        <w:rPr>
          <w:rFonts w:ascii="Arial" w:cs="Arial" w:eastAsia="Arial" w:hAnsi="Arial"/>
          <w:color w:val="1C2833"/>
          <w:sz w:val="22"/>
          <w:szCs w:val="22"/>
        </w:rPr>
        <w:t xml:space="preserve">Saya berulang kali menyaksikan bahwa dimensi manusiawi dari perawatan kesehatan menjadi penentu utama keberhasilan atau kegagalan. Bukan teknologi tercanggih. Bukan prosedur paling mutakhir. Tetapi apakah pasien merasa didengar, dihormati, dan diperlakukan sebagai manusia yang bermartabat di hadapan Allah.</w:t>
      </w:r>
    </w:p>
    <w:p>
      <w:pPr>
        <w:spacing w:after="140" w:before="100" w:line="380" w:lineRule="auto"/>
        <w:jc w:val="both"/>
      </w:pPr>
      <w:r>
        <w:rPr>
          <w:rFonts w:ascii="Arial" w:cs="Arial" w:eastAsia="Arial" w:hAnsi="Arial"/>
          <w:color w:val="1C2833"/>
          <w:sz w:val="22"/>
          <w:szCs w:val="22"/>
        </w:rPr>
        <w:t xml:space="preserve">Lebih dari itu, saya menyaksikan bahwa dimensi humanistik semata, tanpa fondasi akhlak yang bersumber dari keimanan, masih dapat goyah ketika berhadapan dengan godaan duniawi. Yang membuat seorang dokter benar-benar konsisten berbuat baik, bahkan ketika tidak ada yang mengawasi, adalah muraqabatullah — kesadaran bahwa Allah SWT senantiasa melihat setiap tindakan dan setiap niat kita.</w:t>
      </w:r>
    </w:p>
    <w:p>
      <w:pPr>
        <w:spacing w:after="140" w:before="100" w:line="380" w:lineRule="auto"/>
        <w:jc w:val="both"/>
      </w:pPr>
      <w:r>
        <w:rPr>
          <w:rFonts w:ascii="Arial" w:cs="Arial" w:eastAsia="Arial" w:hAnsi="Arial"/>
          <w:color w:val="1C2833"/>
          <w:sz w:val="22"/>
          <w:szCs w:val="22"/>
        </w:rPr>
        <w:t xml:space="preserve">Kepada seluruh mahasiswa kedokteran, khususnya di lingkungan UIN: jadilah dokter yang utuh — kompeten secara keilmuan, manusiawi dalam pelayanan, dan kokoh akhlaknya karena Allah.</w:t>
      </w:r>
    </w:p>
    <w:p>
      <w:pPr>
        <w:spacing w:after="0" w:before="160"/>
        <w:jc w:val="right"/>
      </w:pPr>
      <w:r>
        <w:rPr>
          <w:rFonts w:ascii="Arial" w:cs="Arial" w:eastAsia="Arial" w:hAnsi="Arial"/>
          <w:b/>
          <w:bCs/>
          <w:sz w:val="22"/>
          <w:szCs w:val="22"/>
        </w:rPr>
        <w:t xml:space="preserve">Dr.dr. Budi Siswanto, Sp.OG., Subsp.Obginsos., SH., S.Kom.</w:t>
      </w:r>
    </w:p>
    <w:p>
      <w:r>
        <w:br w:type="page"/>
      </w:r>
    </w:p>
    <w:p>
      <w:pPr>
        <w:pStyle w:val="Heading1"/>
        <w:spacing w:after="220" w:before="440"/>
      </w:pPr>
      <w:r>
        <w:rPr>
          <w:rFonts w:ascii="Arial" w:cs="Arial" w:eastAsia="Arial" w:hAnsi="Arial"/>
          <w:b/>
          <w:bCs/>
          <w:color w:val="1A3A5C"/>
          <w:sz w:val="40"/>
          <w:szCs w:val="40"/>
        </w:rPr>
        <w:t xml:space="preserve">CATATAN TENTANG REFERENSI DAN TRANSLITERASI</w:t>
      </w:r>
    </w:p>
    <w:p>
      <w:pPr>
        <w:spacing w:after="140" w:before="100" w:line="380" w:lineRule="auto"/>
        <w:jc w:val="both"/>
      </w:pPr>
      <w:r>
        <w:rPr>
          <w:rFonts w:ascii="Arial" w:cs="Arial" w:eastAsia="Arial" w:hAnsi="Arial"/>
          <w:color w:val="1C2833"/>
          <w:sz w:val="22"/>
          <w:szCs w:val="22"/>
        </w:rPr>
        <w:t xml:space="preserve">Seluruh referensi ilmiah dalam buku ini telah diverifikasi ketersediaannya per Juli 2026. Referensi artikel jurnal dilengkapi DOI yang dapat diakses melalui https://doi.org/diikuti nomor DOI yang tercantum. Referensi peraturan perundang-undangan Indonesia dapat diakses melalui portal resmi Badan Pemeriksa Keuangan RI (https://peraturan.bpk.go.id</w:t>
      </w:r>
    </w:p>
    <w:p>
      <w:pPr>
        <w:spacing w:after="140" w:before="100" w:line="380" w:lineRule="auto"/>
        <w:jc w:val="both"/>
      </w:pPr>
      <w:r>
        <w:rPr>
          <w:rFonts w:ascii="Arial" w:cs="Arial" w:eastAsia="Arial" w:hAnsi="Arial"/>
          <w:color w:val="1C2833"/>
          <w:sz w:val="22"/>
          <w:szCs w:val="22"/>
        </w:rPr>
        <w:t xml:space="preserve">Ayat Al-Qur'an dirujuk dengan format (QS. Nama Surah: Nomor Ayat) dan dapat diverifikasi melalui https://quran.kemenag.go.id Hadits Nabi SAW dirujuk dengan menyebutkan perawi, kitab hadits, nomor hadits, dan status kesahihan. Seluruh kutipan Al-Qur'an dan hadits dalam buku ini disajikan dalam terjemahan bahasa Indonesia untuk memudahkan pemahaman akademis.</w:t>
      </w:r>
    </w:p>
    <w:p>
      <w:pPr>
        <w:spacing w:after="140" w:before="100" w:line="380" w:lineRule="auto"/>
        <w:jc w:val="both"/>
      </w:pPr>
      <w:r>
        <w:rPr>
          <w:rFonts w:ascii="Arial" w:cs="Arial" w:eastAsia="Arial" w:hAnsi="Arial"/>
          <w:color w:val="1C2833"/>
          <w:sz w:val="22"/>
          <w:szCs w:val="22"/>
        </w:rPr>
        <w:t xml:space="preserve">Transliterasi Arab-Latin mengikuti pedoman SKB Menteri Agama dan Menteri P&amp;K RI Nomor 158/1987. Referensi setiap bab disajikan terpisah dengan penomoran urut (1., 2., 3.) untuk memudahkan pengutipan. URL hanya dicantumkan apabila telah terverifikasi aktif; referensi tanpa URL yang dapat diverifikasi ditulis tanpa URL.</w:t>
      </w:r>
    </w:p>
    <w:p>
      <w:r>
        <w:br w:type="page"/>
      </w:r>
    </w:p>
    <w:p>
      <w:pPr>
        <w:pStyle w:val="Heading1"/>
        <w:spacing w:after="220" w:before="440"/>
      </w:pPr>
      <w:r>
        <w:rPr>
          <w:rFonts w:ascii="Arial" w:cs="Arial" w:eastAsia="Arial" w:hAnsi="Arial"/>
          <w:b/>
          <w:bCs/>
          <w:color w:val="1A3A5C"/>
          <w:sz w:val="40"/>
          <w:szCs w:val="40"/>
        </w:rPr>
        <w:t xml:space="preserve">DAFTAR ISI</w:t>
      </w:r>
    </w:p>
    <w:p>
      <w:pPr>
        <w:spacing w:after="28" w:before="80"/>
        <w:ind/>
      </w:pPr>
      <w:r>
        <w:rPr>
          <w:rFonts w:ascii="Arial" w:cs="Arial" w:eastAsia="Arial" w:hAnsi="Arial"/>
          <w:b w:val="false"/>
          <w:bCs w:val="false"/>
          <w:color w:val="1C2833"/>
          <w:sz w:val="20"/>
          <w:szCs w:val="20"/>
        </w:rPr>
        <w:t xml:space="preserve"/>
      </w:r>
    </w:p>
    <w:p>
      <w:pPr>
        <w:spacing w:after="28" w:before="28"/>
        <w:ind/>
      </w:pPr>
      <w:r>
        <w:rPr>
          <w:rFonts w:ascii="Arial" w:cs="Arial" w:eastAsia="Arial" w:hAnsi="Arial"/>
          <w:b w:val="false"/>
          <w:bCs w:val="false"/>
          <w:color w:val="1C2833"/>
          <w:sz w:val="20"/>
          <w:szCs w:val="20"/>
        </w:rPr>
        <w:t xml:space="preserve">Kata Pengantar</w:t>
      </w:r>
    </w:p>
    <w:p>
      <w:pPr>
        <w:spacing w:after="28" w:before="28"/>
        <w:ind/>
      </w:pPr>
      <w:r>
        <w:rPr>
          <w:rFonts w:ascii="Arial" w:cs="Arial" w:eastAsia="Arial" w:hAnsi="Arial"/>
          <w:b w:val="false"/>
          <w:bCs w:val="false"/>
          <w:color w:val="1C2833"/>
          <w:sz w:val="20"/>
          <w:szCs w:val="20"/>
        </w:rPr>
        <w:t xml:space="preserve">Prakata Penulis</w:t>
      </w:r>
    </w:p>
    <w:p>
      <w:pPr>
        <w:spacing w:after="28" w:before="28"/>
        <w:ind/>
      </w:pPr>
      <w:r>
        <w:rPr>
          <w:rFonts w:ascii="Arial" w:cs="Arial" w:eastAsia="Arial" w:hAnsi="Arial"/>
          <w:b w:val="false"/>
          <w:bCs w:val="false"/>
          <w:color w:val="1C2833"/>
          <w:sz w:val="20"/>
          <w:szCs w:val="20"/>
        </w:rPr>
        <w:t xml:space="preserve">Catatan tentang Referensi dan Transliterasi</w:t>
      </w:r>
    </w:p>
    <w:p>
      <w:pPr>
        <w:spacing w:after="28" w:before="28"/>
        <w:ind/>
      </w:pPr>
      <w:r>
        <w:rPr>
          <w:rFonts w:ascii="Arial" w:cs="Arial" w:eastAsia="Arial" w:hAnsi="Arial"/>
          <w:b w:val="false"/>
          <w:bCs w:val="false"/>
          <w:color w:val="1C2833"/>
          <w:sz w:val="20"/>
          <w:szCs w:val="20"/>
        </w:rPr>
        <w:t xml:space="preserve">Daftar Isi</w:t>
      </w:r>
    </w:p>
    <w:p>
      <w:pPr>
        <w:spacing w:after="28" w:before="80"/>
        <w:ind/>
      </w:pPr>
      <w:r>
        <w:rPr>
          <w:rFonts w:ascii="Arial" w:cs="Arial" w:eastAsia="Arial" w:hAnsi="Arial"/>
          <w:b w:val="false"/>
          <w:bCs w:val="false"/>
          <w:color w:val="1C2833"/>
          <w:sz w:val="20"/>
          <w:szCs w:val="20"/>
        </w:rPr>
        <w:t xml:space="preserve"/>
      </w:r>
    </w:p>
    <w:p>
      <w:pPr>
        <w:spacing w:after="28" w:before="80"/>
        <w:ind/>
      </w:pPr>
      <w:r>
        <w:rPr>
          <w:rFonts w:ascii="Arial" w:cs="Arial" w:eastAsia="Arial" w:hAnsi="Arial"/>
          <w:b/>
          <w:bCs/>
          <w:color w:val="1A3A5C"/>
          <w:sz w:val="22"/>
          <w:szCs w:val="22"/>
        </w:rPr>
        <w:t xml:space="preserve">BAB 1. KEDOKTERAN DAN KEMANUSIAAN: WARISAN ILMU DARI PERADABAN ISLAM HINGGA KINI</w:t>
      </w:r>
    </w:p>
    <w:p>
      <w:pPr>
        <w:spacing w:after="28" w:before="28"/>
        <w:ind w:left="720"/>
      </w:pPr>
      <w:r>
        <w:rPr>
          <w:rFonts w:ascii="Arial" w:cs="Arial" w:eastAsia="Arial" w:hAnsi="Arial"/>
          <w:b w:val="false"/>
          <w:bCs w:val="false"/>
          <w:color w:val="1C2833"/>
          <w:sz w:val="20"/>
          <w:szCs w:val="20"/>
        </w:rPr>
        <w:t xml:space="preserve">A. Mengapa Kedokteran Perlu Jiwa?</w:t>
      </w:r>
    </w:p>
    <w:p>
      <w:pPr>
        <w:spacing w:after="28" w:before="28"/>
        <w:ind w:left="720"/>
      </w:pPr>
      <w:r>
        <w:rPr>
          <w:rFonts w:ascii="Arial" w:cs="Arial" w:eastAsia="Arial" w:hAnsi="Arial"/>
          <w:b w:val="false"/>
          <w:bCs w:val="false"/>
          <w:color w:val="1C2833"/>
          <w:sz w:val="20"/>
          <w:szCs w:val="20"/>
        </w:rPr>
        <w:t xml:space="preserve">B. Humaniora dan Maqashid Syariah: Hifzh al-Nafs sebagai Fondasi</w:t>
      </w:r>
    </w:p>
    <w:p>
      <w:pPr>
        <w:spacing w:after="28" w:before="28"/>
        <w:ind w:left="720"/>
      </w:pPr>
      <w:r>
        <w:rPr>
          <w:rFonts w:ascii="Arial" w:cs="Arial" w:eastAsia="Arial" w:hAnsi="Arial"/>
          <w:b w:val="false"/>
          <w:bCs w:val="false"/>
          <w:color w:val="1C2833"/>
          <w:sz w:val="20"/>
          <w:szCs w:val="20"/>
        </w:rPr>
        <w:t xml:space="preserve">C. Warisan Kedokteran Islam: Ibnu Sina, Al-Razi, dan Ibnu Nafis</w:t>
      </w:r>
    </w:p>
    <w:p>
      <w:pPr>
        <w:spacing w:after="28" w:before="28"/>
        <w:ind w:left="720"/>
      </w:pPr>
      <w:r>
        <w:rPr>
          <w:rFonts w:ascii="Arial" w:cs="Arial" w:eastAsia="Arial" w:hAnsi="Arial"/>
          <w:b w:val="false"/>
          <w:bCs w:val="false"/>
          <w:color w:val="1C2833"/>
          <w:sz w:val="20"/>
          <w:szCs w:val="20"/>
        </w:rPr>
        <w:t xml:space="preserve">D. Filsafat Manusia dalam Perspektif Islam dan Barat</w:t>
      </w:r>
    </w:p>
    <w:p>
      <w:pPr>
        <w:spacing w:after="28" w:before="28"/>
        <w:ind w:left="720"/>
      </w:pPr>
      <w:r>
        <w:rPr>
          <w:rFonts w:ascii="Arial" w:cs="Arial" w:eastAsia="Arial" w:hAnsi="Arial"/>
          <w:b w:val="false"/>
          <w:bCs w:val="false"/>
          <w:color w:val="1C2833"/>
          <w:sz w:val="20"/>
          <w:szCs w:val="20"/>
        </w:rPr>
        <w:t xml:space="preserve">E. Anatomi Hubungan Dokter-Pasien sebagai Amanah</w:t>
      </w:r>
    </w:p>
    <w:p>
      <w:pPr>
        <w:spacing w:after="28" w:before="28"/>
        <w:ind w:left="720"/>
      </w:pPr>
      <w:r>
        <w:rPr>
          <w:rFonts w:ascii="Arial" w:cs="Arial" w:eastAsia="Arial" w:hAnsi="Arial"/>
          <w:b w:val="false"/>
          <w:bCs w:val="false"/>
          <w:color w:val="1C2833"/>
          <w:sz w:val="20"/>
          <w:szCs w:val="20"/>
        </w:rPr>
        <w:t xml:space="preserve">F. Profil Thabib Rabbani: Dokter yang Utuh</w:t>
      </w:r>
    </w:p>
    <w:p>
      <w:pPr>
        <w:spacing w:after="28" w:before="80"/>
        <w:ind/>
      </w:pPr>
      <w:r>
        <w:rPr>
          <w:rFonts w:ascii="Arial" w:cs="Arial" w:eastAsia="Arial" w:hAnsi="Arial"/>
          <w:b w:val="false"/>
          <w:bCs w:val="false"/>
          <w:color w:val="1C2833"/>
          <w:sz w:val="20"/>
          <w:szCs w:val="20"/>
        </w:rPr>
        <w:t xml:space="preserve"/>
      </w:r>
    </w:p>
    <w:p>
      <w:pPr>
        <w:spacing w:after="28" w:before="80"/>
        <w:ind/>
      </w:pPr>
      <w:r>
        <w:rPr>
          <w:rFonts w:ascii="Arial" w:cs="Arial" w:eastAsia="Arial" w:hAnsi="Arial"/>
          <w:b/>
          <w:bCs/>
          <w:color w:val="1A3A5C"/>
          <w:sz w:val="22"/>
          <w:szCs w:val="22"/>
        </w:rPr>
        <w:t xml:space="preserve">BAB 2. FONDASI ONTOLOGI, EPISTEMOLOGI, DAN AKSIOLOGI DALAM PRAKTIK KLINIS</w:t>
      </w:r>
    </w:p>
    <w:p>
      <w:pPr>
        <w:spacing w:after="28" w:before="28"/>
        <w:ind w:left="720"/>
      </w:pPr>
      <w:r>
        <w:rPr>
          <w:rFonts w:ascii="Arial" w:cs="Arial" w:eastAsia="Arial" w:hAnsi="Arial"/>
          <w:b w:val="false"/>
          <w:bCs w:val="false"/>
          <w:color w:val="1C2833"/>
          <w:sz w:val="20"/>
          <w:szCs w:val="20"/>
        </w:rPr>
        <w:t xml:space="preserve">A. Ontologi: Manusia sebagai Khalifah dan Pasien sebagai Amanah</w:t>
      </w:r>
    </w:p>
    <w:p>
      <w:pPr>
        <w:spacing w:after="28" w:before="28"/>
        <w:ind w:left="720"/>
      </w:pPr>
      <w:r>
        <w:rPr>
          <w:rFonts w:ascii="Arial" w:cs="Arial" w:eastAsia="Arial" w:hAnsi="Arial"/>
          <w:b w:val="false"/>
          <w:bCs w:val="false"/>
          <w:color w:val="1C2833"/>
          <w:sz w:val="20"/>
          <w:szCs w:val="20"/>
        </w:rPr>
        <w:t xml:space="preserve">B. Epistemologi: EBM, Ketidakpastian Klinis, dan Adab Thalabul 'Ilmi</w:t>
      </w:r>
    </w:p>
    <w:p>
      <w:pPr>
        <w:spacing w:after="28" w:before="28"/>
        <w:ind w:left="720"/>
      </w:pPr>
      <w:r>
        <w:rPr>
          <w:rFonts w:ascii="Arial" w:cs="Arial" w:eastAsia="Arial" w:hAnsi="Arial"/>
          <w:b w:val="false"/>
          <w:bCs w:val="false"/>
          <w:color w:val="1C2833"/>
          <w:sz w:val="20"/>
          <w:szCs w:val="20"/>
        </w:rPr>
        <w:t xml:space="preserve">C. Aksiologi: Nilai-Nilai Maqashid Syariah dalam Keputusan Klinis</w:t>
      </w:r>
    </w:p>
    <w:p>
      <w:pPr>
        <w:spacing w:after="28" w:before="28"/>
        <w:ind w:left="720"/>
      </w:pPr>
      <w:r>
        <w:rPr>
          <w:rFonts w:ascii="Arial" w:cs="Arial" w:eastAsia="Arial" w:hAnsi="Arial"/>
          <w:b w:val="false"/>
          <w:bCs w:val="false"/>
          <w:color w:val="1C2833"/>
          <w:sz w:val="20"/>
          <w:szCs w:val="20"/>
        </w:rPr>
        <w:t xml:space="preserve">D. Filsafat Ilmu Kedokteran: Antara Sains, Seni, dan Hikmah</w:t>
      </w:r>
    </w:p>
    <w:p>
      <w:pPr>
        <w:spacing w:after="28" w:before="28"/>
        <w:ind w:left="720"/>
      </w:pPr>
      <w:r>
        <w:rPr>
          <w:rFonts w:ascii="Arial" w:cs="Arial" w:eastAsia="Arial" w:hAnsi="Arial"/>
          <w:b w:val="false"/>
          <w:bCs w:val="false"/>
          <w:color w:val="1C2833"/>
          <w:sz w:val="20"/>
          <w:szCs w:val="20"/>
        </w:rPr>
        <w:t xml:space="preserve">E. Konstruksi Budaya dan Kearifan Lokal terhadap Kesehatan</w:t>
      </w:r>
    </w:p>
    <w:p>
      <w:pPr>
        <w:spacing w:after="28" w:before="80"/>
        <w:ind/>
      </w:pPr>
      <w:r>
        <w:rPr>
          <w:rFonts w:ascii="Arial" w:cs="Arial" w:eastAsia="Arial" w:hAnsi="Arial"/>
          <w:b w:val="false"/>
          <w:bCs w:val="false"/>
          <w:color w:val="1C2833"/>
          <w:sz w:val="20"/>
          <w:szCs w:val="20"/>
        </w:rPr>
        <w:t xml:space="preserve"/>
      </w:r>
    </w:p>
    <w:p>
      <w:pPr>
        <w:spacing w:after="28" w:before="80"/>
        <w:ind/>
      </w:pPr>
      <w:r>
        <w:rPr>
          <w:rFonts w:ascii="Arial" w:cs="Arial" w:eastAsia="Arial" w:hAnsi="Arial"/>
          <w:b/>
          <w:bCs/>
          <w:color w:val="1A3A5C"/>
          <w:sz w:val="22"/>
          <w:szCs w:val="22"/>
        </w:rPr>
        <w:t xml:space="preserve">BAB 3. BIOETIKA, FIQH KEDOKTERAN, DAN ETIKA PROFESI</w:t>
      </w:r>
    </w:p>
    <w:p>
      <w:pPr>
        <w:spacing w:after="28" w:before="28"/>
        <w:ind w:left="720"/>
      </w:pPr>
      <w:r>
        <w:rPr>
          <w:rFonts w:ascii="Arial" w:cs="Arial" w:eastAsia="Arial" w:hAnsi="Arial"/>
          <w:b w:val="false"/>
          <w:bCs w:val="false"/>
          <w:color w:val="1C2833"/>
          <w:sz w:val="20"/>
          <w:szCs w:val="20"/>
        </w:rPr>
        <w:t xml:space="preserve">A. Empat Pilar Bioetika dan Padanannya dalam Maqashid Syariah</w:t>
      </w:r>
    </w:p>
    <w:p>
      <w:pPr>
        <w:spacing w:after="28" w:before="28"/>
        <w:ind w:left="720"/>
      </w:pPr>
      <w:r>
        <w:rPr>
          <w:rFonts w:ascii="Arial" w:cs="Arial" w:eastAsia="Arial" w:hAnsi="Arial"/>
          <w:b w:val="false"/>
          <w:bCs w:val="false"/>
          <w:color w:val="1C2833"/>
          <w:sz w:val="20"/>
          <w:szCs w:val="20"/>
        </w:rPr>
        <w:t xml:space="preserve">B. Informed Consent: Antara Amanah, Shidq, dan Standar Hukum</w:t>
      </w:r>
    </w:p>
    <w:p>
      <w:pPr>
        <w:spacing w:after="28" w:before="28"/>
        <w:ind w:left="720"/>
      </w:pPr>
      <w:r>
        <w:rPr>
          <w:rFonts w:ascii="Arial" w:cs="Arial" w:eastAsia="Arial" w:hAnsi="Arial"/>
          <w:b w:val="false"/>
          <w:bCs w:val="false"/>
          <w:color w:val="1C2833"/>
          <w:sz w:val="20"/>
          <w:szCs w:val="20"/>
        </w:rPr>
        <w:t xml:space="preserve">C. Dilema Etis dalam Praktik Klinis: Four-Boxes dan Kaidah Fiqih</w:t>
      </w:r>
    </w:p>
    <w:p>
      <w:pPr>
        <w:spacing w:after="28" w:before="28"/>
        <w:ind w:left="720"/>
      </w:pPr>
      <w:r>
        <w:rPr>
          <w:rFonts w:ascii="Arial" w:cs="Arial" w:eastAsia="Arial" w:hAnsi="Arial"/>
          <w:b w:val="false"/>
          <w:bCs w:val="false"/>
          <w:color w:val="1C2833"/>
          <w:sz w:val="20"/>
          <w:szCs w:val="20"/>
        </w:rPr>
        <w:t xml:space="preserve">D. Etika Digital dan Media Sosial dalam Praktik Medis</w:t>
      </w:r>
    </w:p>
    <w:p>
      <w:pPr>
        <w:spacing w:after="28" w:before="28"/>
        <w:ind w:left="720"/>
      </w:pPr>
      <w:r>
        <w:rPr>
          <w:rFonts w:ascii="Arial" w:cs="Arial" w:eastAsia="Arial" w:hAnsi="Arial"/>
          <w:b w:val="false"/>
          <w:bCs w:val="false"/>
          <w:color w:val="1C2833"/>
          <w:sz w:val="20"/>
          <w:szCs w:val="20"/>
        </w:rPr>
        <w:t xml:space="preserve">E. Kerangka Hukum Praktik Kedokteran di Indonesia</w:t>
      </w:r>
    </w:p>
    <w:p>
      <w:pPr>
        <w:spacing w:after="28" w:before="28"/>
        <w:ind w:left="720"/>
      </w:pPr>
      <w:r>
        <w:rPr>
          <w:rFonts w:ascii="Arial" w:cs="Arial" w:eastAsia="Arial" w:hAnsi="Arial"/>
          <w:b w:val="false"/>
          <w:bCs w:val="false"/>
          <w:color w:val="1C2833"/>
          <w:sz w:val="20"/>
          <w:szCs w:val="20"/>
        </w:rPr>
        <w:t xml:space="preserve">F. Etika Penelitian Biomedis: Nuremberg, Helsinki, dan Fiqih Kontemporer</w:t>
      </w:r>
    </w:p>
    <w:p>
      <w:pPr>
        <w:spacing w:after="28" w:before="80"/>
        <w:ind/>
      </w:pPr>
      <w:r>
        <w:rPr>
          <w:rFonts w:ascii="Arial" w:cs="Arial" w:eastAsia="Arial" w:hAnsi="Arial"/>
          <w:b w:val="false"/>
          <w:bCs w:val="false"/>
          <w:color w:val="1C2833"/>
          <w:sz w:val="20"/>
          <w:szCs w:val="20"/>
        </w:rPr>
        <w:t xml:space="preserve"/>
      </w:r>
    </w:p>
    <w:p>
      <w:pPr>
        <w:spacing w:after="28" w:before="80"/>
        <w:ind/>
      </w:pPr>
      <w:r>
        <w:rPr>
          <w:rFonts w:ascii="Arial" w:cs="Arial" w:eastAsia="Arial" w:hAnsi="Arial"/>
          <w:b/>
          <w:bCs/>
          <w:color w:val="1A3A5C"/>
          <w:sz w:val="22"/>
          <w:szCs w:val="22"/>
        </w:rPr>
        <w:t xml:space="preserve">BAB 4. KOMUNIKASI TERAPEUTIK DAN ADAB DALAM HUBUNGAN DOKTER-PASIEN</w:t>
      </w:r>
    </w:p>
    <w:p>
      <w:pPr>
        <w:spacing w:after="28" w:before="28"/>
        <w:ind w:left="720"/>
      </w:pPr>
      <w:r>
        <w:rPr>
          <w:rFonts w:ascii="Arial" w:cs="Arial" w:eastAsia="Arial" w:hAnsi="Arial"/>
          <w:b w:val="false"/>
          <w:bCs w:val="false"/>
          <w:color w:val="1C2833"/>
          <w:sz w:val="20"/>
          <w:szCs w:val="20"/>
        </w:rPr>
        <w:t xml:space="preserve">A. Komunikasi sebagai Instrumen Penyembuhan: Qaulan Ma'rufan</w:t>
      </w:r>
    </w:p>
    <w:p>
      <w:pPr>
        <w:spacing w:after="28" w:before="28"/>
        <w:ind w:left="720"/>
      </w:pPr>
      <w:r>
        <w:rPr>
          <w:rFonts w:ascii="Arial" w:cs="Arial" w:eastAsia="Arial" w:hAnsi="Arial"/>
          <w:b w:val="false"/>
          <w:bCs w:val="false"/>
          <w:color w:val="1C2833"/>
          <w:sz w:val="20"/>
          <w:szCs w:val="20"/>
        </w:rPr>
        <w:t xml:space="preserve">B. Kecemasan Klinis: Memahami, Mengakui, dan Mengelola (GAD-7)</w:t>
      </w:r>
    </w:p>
    <w:p>
      <w:pPr>
        <w:spacing w:after="28" w:before="28"/>
        <w:ind w:left="720"/>
      </w:pPr>
      <w:r>
        <w:rPr>
          <w:rFonts w:ascii="Arial" w:cs="Arial" w:eastAsia="Arial" w:hAnsi="Arial"/>
          <w:b w:val="false"/>
          <w:bCs w:val="false"/>
          <w:color w:val="1C2833"/>
          <w:sz w:val="20"/>
          <w:szCs w:val="20"/>
        </w:rPr>
        <w:t xml:space="preserve">C. Komunikasi dengan Populasi Khusus</w:t>
      </w:r>
    </w:p>
    <w:p>
      <w:pPr>
        <w:spacing w:after="28" w:before="28"/>
        <w:ind w:left="720"/>
      </w:pPr>
      <w:r>
        <w:rPr>
          <w:rFonts w:ascii="Arial" w:cs="Arial" w:eastAsia="Arial" w:hAnsi="Arial"/>
          <w:b w:val="false"/>
          <w:bCs w:val="false"/>
          <w:color w:val="1C2833"/>
          <w:sz w:val="20"/>
          <w:szCs w:val="20"/>
        </w:rPr>
        <w:t xml:space="preserve">D. Kedokteran Naratif: Mendengarkan sebagai Bentuk Ihsan</w:t>
      </w:r>
    </w:p>
    <w:p>
      <w:pPr>
        <w:spacing w:after="28" w:before="28"/>
        <w:ind w:left="720"/>
      </w:pPr>
      <w:r>
        <w:rPr>
          <w:rFonts w:ascii="Arial" w:cs="Arial" w:eastAsia="Arial" w:hAnsi="Arial"/>
          <w:b w:val="false"/>
          <w:bCs w:val="false"/>
          <w:color w:val="1C2833"/>
          <w:sz w:val="20"/>
          <w:szCs w:val="20"/>
        </w:rPr>
        <w:t xml:space="preserve">E. Manajemen Konflik dan Keluhan Pasien dengan Akhlak Hilm</w:t>
      </w:r>
    </w:p>
    <w:p>
      <w:pPr>
        <w:spacing w:after="28" w:before="28"/>
        <w:ind w:left="720"/>
      </w:pPr>
      <w:r>
        <w:rPr>
          <w:rFonts w:ascii="Arial" w:cs="Arial" w:eastAsia="Arial" w:hAnsi="Arial"/>
          <w:b w:val="false"/>
          <w:bCs w:val="false"/>
          <w:color w:val="1C2833"/>
          <w:sz w:val="20"/>
          <w:szCs w:val="20"/>
        </w:rPr>
        <w:t xml:space="preserve">F. Komunikasi Lintas Budaya dalam Praktik Multikultural</w:t>
      </w:r>
    </w:p>
    <w:p>
      <w:pPr>
        <w:spacing w:after="28" w:before="80"/>
        <w:ind/>
      </w:pPr>
      <w:r>
        <w:rPr>
          <w:rFonts w:ascii="Arial" w:cs="Arial" w:eastAsia="Arial" w:hAnsi="Arial"/>
          <w:b w:val="false"/>
          <w:bCs w:val="false"/>
          <w:color w:val="1C2833"/>
          <w:sz w:val="20"/>
          <w:szCs w:val="20"/>
        </w:rPr>
        <w:t xml:space="preserve"/>
      </w:r>
    </w:p>
    <w:p>
      <w:pPr>
        <w:spacing w:after="28" w:before="80"/>
        <w:ind/>
      </w:pPr>
      <w:r>
        <w:rPr>
          <w:rFonts w:ascii="Arial" w:cs="Arial" w:eastAsia="Arial" w:hAnsi="Arial"/>
          <w:b/>
          <w:bCs/>
          <w:color w:val="1A3A5C"/>
          <w:sz w:val="22"/>
          <w:szCs w:val="22"/>
        </w:rPr>
        <w:t xml:space="preserve">BAB 5. PERSON-CENTERED CARE DAN RAHMATAN LIL 'ALAMIN DALAM PRAKTIK KLINIS</w:t>
      </w:r>
    </w:p>
    <w:p>
      <w:pPr>
        <w:spacing w:after="28" w:before="28"/>
        <w:ind w:left="720"/>
      </w:pPr>
      <w:r>
        <w:rPr>
          <w:rFonts w:ascii="Arial" w:cs="Arial" w:eastAsia="Arial" w:hAnsi="Arial"/>
          <w:b w:val="false"/>
          <w:bCs w:val="false"/>
          <w:color w:val="1C2833"/>
          <w:sz w:val="20"/>
          <w:szCs w:val="20"/>
        </w:rPr>
        <w:t xml:space="preserve">A. Person-Centered Care dan Prinsip Rahmah dalam Islam</w:t>
      </w:r>
    </w:p>
    <w:p>
      <w:pPr>
        <w:spacing w:after="28" w:before="28"/>
        <w:ind w:left="720"/>
      </w:pPr>
      <w:r>
        <w:rPr>
          <w:rFonts w:ascii="Arial" w:cs="Arial" w:eastAsia="Arial" w:hAnsi="Arial"/>
          <w:b w:val="false"/>
          <w:bCs w:val="false"/>
          <w:color w:val="1C2833"/>
          <w:sz w:val="20"/>
          <w:szCs w:val="20"/>
        </w:rPr>
        <w:t xml:space="preserve">B. Determinan Sosial Kesehatan dan Keadilan ('Adl) di Indonesia</w:t>
      </w:r>
    </w:p>
    <w:p>
      <w:pPr>
        <w:spacing w:after="28" w:before="28"/>
        <w:ind w:left="720"/>
      </w:pPr>
      <w:r>
        <w:rPr>
          <w:rFonts w:ascii="Arial" w:cs="Arial" w:eastAsia="Arial" w:hAnsi="Arial"/>
          <w:b w:val="false"/>
          <w:bCs w:val="false"/>
          <w:color w:val="1C2833"/>
          <w:sz w:val="20"/>
          <w:szCs w:val="20"/>
        </w:rPr>
        <w:t xml:space="preserve">C. Komorbiditas, Multimorbiditas, dan Pendekatan Holistik</w:t>
      </w:r>
    </w:p>
    <w:p>
      <w:pPr>
        <w:spacing w:after="28" w:before="28"/>
        <w:ind w:left="720"/>
      </w:pPr>
      <w:r>
        <w:rPr>
          <w:rFonts w:ascii="Arial" w:cs="Arial" w:eastAsia="Arial" w:hAnsi="Arial"/>
          <w:b w:val="false"/>
          <w:bCs w:val="false"/>
          <w:color w:val="1C2833"/>
          <w:sz w:val="20"/>
          <w:szCs w:val="20"/>
        </w:rPr>
        <w:t xml:space="preserve">D. Praktik Reflektif dan Muhasabah sebagai Pengembangan Diri</w:t>
      </w:r>
    </w:p>
    <w:p>
      <w:pPr>
        <w:spacing w:after="28" w:before="28"/>
        <w:ind w:left="720"/>
      </w:pPr>
      <w:r>
        <w:rPr>
          <w:rFonts w:ascii="Arial" w:cs="Arial" w:eastAsia="Arial" w:hAnsi="Arial"/>
          <w:b w:val="false"/>
          <w:bCs w:val="false"/>
          <w:color w:val="1C2833"/>
          <w:sz w:val="20"/>
          <w:szCs w:val="20"/>
        </w:rPr>
        <w:t xml:space="preserve">E. Masa Depan Kedokteran yang Manusiawi dan Berkah</w:t>
      </w:r>
    </w:p>
    <w:p>
      <w:pPr>
        <w:spacing w:after="28" w:before="80"/>
        <w:ind/>
      </w:pPr>
      <w:r>
        <w:rPr>
          <w:rFonts w:ascii="Arial" w:cs="Arial" w:eastAsia="Arial" w:hAnsi="Arial"/>
          <w:b w:val="false"/>
          <w:bCs w:val="false"/>
          <w:color w:val="1C2833"/>
          <w:sz w:val="20"/>
          <w:szCs w:val="20"/>
        </w:rPr>
        <w:t xml:space="preserve"/>
      </w:r>
    </w:p>
    <w:p>
      <w:pPr>
        <w:spacing w:after="28" w:before="80"/>
        <w:ind/>
      </w:pPr>
      <w:r>
        <w:rPr>
          <w:rFonts w:ascii="Arial" w:cs="Arial" w:eastAsia="Arial" w:hAnsi="Arial"/>
          <w:b/>
          <w:bCs/>
          <w:color w:val="1A3A5C"/>
          <w:sz w:val="22"/>
          <w:szCs w:val="22"/>
        </w:rPr>
        <w:t xml:space="preserve">BAB 6. PSIKOLOGI PASIEN, NAFS, DAN MANAJEMEN PERILAKU KLINIS</w:t>
      </w:r>
    </w:p>
    <w:p>
      <w:pPr>
        <w:spacing w:after="28" w:before="28"/>
        <w:ind w:left="720"/>
      </w:pPr>
      <w:r>
        <w:rPr>
          <w:rFonts w:ascii="Arial" w:cs="Arial" w:eastAsia="Arial" w:hAnsi="Arial"/>
          <w:b w:val="false"/>
          <w:bCs w:val="false"/>
          <w:color w:val="1C2833"/>
          <w:sz w:val="20"/>
          <w:szCs w:val="20"/>
        </w:rPr>
        <w:t xml:space="preserve">A. Psikologi Nyeri: Gate Control, Sensitisasi Sentral, dan Ujian (Bala')</w:t>
      </w:r>
    </w:p>
    <w:p>
      <w:pPr>
        <w:spacing w:after="28" w:before="28"/>
        <w:ind w:left="720"/>
      </w:pPr>
      <w:r>
        <w:rPr>
          <w:rFonts w:ascii="Arial" w:cs="Arial" w:eastAsia="Arial" w:hAnsi="Arial"/>
          <w:b w:val="false"/>
          <w:bCs w:val="false"/>
          <w:color w:val="1C2833"/>
          <w:sz w:val="20"/>
          <w:szCs w:val="20"/>
        </w:rPr>
        <w:t xml:space="preserve">B. Motivasi dan Kepatuhan Terapi Penyakit Kronis (Motivational Interviewing)</w:t>
      </w:r>
    </w:p>
    <w:p>
      <w:pPr>
        <w:spacing w:after="28" w:before="28"/>
        <w:ind w:left="720"/>
      </w:pPr>
      <w:r>
        <w:rPr>
          <w:rFonts w:ascii="Arial" w:cs="Arial" w:eastAsia="Arial" w:hAnsi="Arial"/>
          <w:b w:val="false"/>
          <w:bCs w:val="false"/>
          <w:color w:val="1C2833"/>
          <w:sz w:val="20"/>
          <w:szCs w:val="20"/>
        </w:rPr>
        <w:t xml:space="preserve">C. Dampak Psikososial Penyakit: Identitas, Body Image, dan HRQoL</w:t>
      </w:r>
    </w:p>
    <w:p>
      <w:pPr>
        <w:spacing w:after="28" w:before="28"/>
        <w:ind w:left="720"/>
      </w:pPr>
      <w:r>
        <w:rPr>
          <w:rFonts w:ascii="Arial" w:cs="Arial" w:eastAsia="Arial" w:hAnsi="Arial"/>
          <w:b w:val="false"/>
          <w:bCs w:val="false"/>
          <w:color w:val="1C2833"/>
          <w:sz w:val="20"/>
          <w:szCs w:val="20"/>
        </w:rPr>
        <w:t xml:space="preserve">D. Komorbiditas Kesehatan Mental: Skrining PHQ-9, GAD-7, dan Tazkiyatun Nafs</w:t>
      </w:r>
    </w:p>
    <w:p>
      <w:pPr>
        <w:spacing w:after="28" w:before="28"/>
        <w:ind w:left="720"/>
      </w:pPr>
      <w:r>
        <w:rPr>
          <w:rFonts w:ascii="Arial" w:cs="Arial" w:eastAsia="Arial" w:hAnsi="Arial"/>
          <w:b w:val="false"/>
          <w:bCs w:val="false"/>
          <w:color w:val="1C2833"/>
          <w:sz w:val="20"/>
          <w:szCs w:val="20"/>
        </w:rPr>
        <w:t xml:space="preserve">E. Resiliensi Profesional: Sabar dan Self-Compassion sebagai Kekuatan Klinisi</w:t>
      </w:r>
    </w:p>
    <w:p>
      <w:pPr>
        <w:spacing w:after="28" w:before="80"/>
        <w:ind/>
      </w:pPr>
      <w:r>
        <w:rPr>
          <w:rFonts w:ascii="Arial" w:cs="Arial" w:eastAsia="Arial" w:hAnsi="Arial"/>
          <w:b w:val="false"/>
          <w:bCs w:val="false"/>
          <w:color w:val="1C2833"/>
          <w:sz w:val="20"/>
          <w:szCs w:val="20"/>
        </w:rPr>
        <w:t xml:space="preserve"/>
      </w:r>
    </w:p>
    <w:p>
      <w:pPr>
        <w:spacing w:after="28" w:before="80"/>
        <w:ind/>
      </w:pPr>
      <w:r>
        <w:rPr>
          <w:rFonts w:ascii="Arial" w:cs="Arial" w:eastAsia="Arial" w:hAnsi="Arial"/>
          <w:b/>
          <w:bCs/>
          <w:color w:val="1A3A5C"/>
          <w:sz w:val="22"/>
          <w:szCs w:val="22"/>
        </w:rPr>
        <w:t xml:space="preserve">BAB 7. KEPEMIMPINAN, PROFESI, DAN TANGGUNG JAWAB SOSIAL DOKTER</w:t>
      </w:r>
    </w:p>
    <w:p>
      <w:pPr>
        <w:spacing w:after="28" w:before="28"/>
        <w:ind w:left="720"/>
      </w:pPr>
      <w:r>
        <w:rPr>
          <w:rFonts w:ascii="Arial" w:cs="Arial" w:eastAsia="Arial" w:hAnsi="Arial"/>
          <w:b w:val="false"/>
          <w:bCs w:val="false"/>
          <w:color w:val="1C2833"/>
          <w:sz w:val="20"/>
          <w:szCs w:val="20"/>
        </w:rPr>
        <w:t xml:space="preserve">A. Profesionalisme Medis: Physician Charter dan Konsep Itqan</w:t>
      </w:r>
    </w:p>
    <w:p>
      <w:pPr>
        <w:spacing w:after="28" w:before="28"/>
        <w:ind w:left="720"/>
      </w:pPr>
      <w:r>
        <w:rPr>
          <w:rFonts w:ascii="Arial" w:cs="Arial" w:eastAsia="Arial" w:hAnsi="Arial"/>
          <w:b w:val="false"/>
          <w:bCs w:val="false"/>
          <w:color w:val="1C2833"/>
          <w:sz w:val="20"/>
          <w:szCs w:val="20"/>
        </w:rPr>
        <w:t xml:space="preserve">B. Kepemimpinan Klinis dan Ukhuwah dalam Kolaborasi Interprofesional</w:t>
      </w:r>
    </w:p>
    <w:p>
      <w:pPr>
        <w:spacing w:after="28" w:before="28"/>
        <w:ind w:left="720"/>
      </w:pPr>
      <w:r>
        <w:rPr>
          <w:rFonts w:ascii="Arial" w:cs="Arial" w:eastAsia="Arial" w:hAnsi="Arial"/>
          <w:b w:val="false"/>
          <w:bCs w:val="false"/>
          <w:color w:val="1C2833"/>
          <w:sz w:val="20"/>
          <w:szCs w:val="20"/>
        </w:rPr>
        <w:t xml:space="preserve">C. Dokter sebagai Pendidik dan Da'i Kesehatan</w:t>
      </w:r>
    </w:p>
    <w:p>
      <w:pPr>
        <w:spacing w:after="28" w:before="28"/>
        <w:ind w:left="720"/>
      </w:pPr>
      <w:r>
        <w:rPr>
          <w:rFonts w:ascii="Arial" w:cs="Arial" w:eastAsia="Arial" w:hAnsi="Arial"/>
          <w:b w:val="false"/>
          <w:bCs w:val="false"/>
          <w:color w:val="1C2833"/>
          <w:sz w:val="20"/>
          <w:szCs w:val="20"/>
        </w:rPr>
        <w:t xml:space="preserve">D. Pengembangan Profesional Berkelanjutan (P2KB/CPD)</w:t>
      </w:r>
    </w:p>
    <w:p>
      <w:pPr>
        <w:spacing w:after="28" w:before="28"/>
        <w:ind w:left="720"/>
      </w:pPr>
      <w:r>
        <w:rPr>
          <w:rFonts w:ascii="Arial" w:cs="Arial" w:eastAsia="Arial" w:hAnsi="Arial"/>
          <w:b w:val="false"/>
          <w:bCs w:val="false"/>
          <w:color w:val="1C2833"/>
          <w:sz w:val="20"/>
          <w:szCs w:val="20"/>
        </w:rPr>
        <w:t xml:space="preserve">E. Dokter dalam Sistem JKN: Tantangan, Tanggung Jawab, dan Ibadah</w:t>
      </w:r>
    </w:p>
    <w:p>
      <w:pPr>
        <w:spacing w:after="28" w:before="28"/>
        <w:ind w:left="720"/>
      </w:pPr>
      <w:r>
        <w:rPr>
          <w:rFonts w:ascii="Arial" w:cs="Arial" w:eastAsia="Arial" w:hAnsi="Arial"/>
          <w:b w:val="false"/>
          <w:bCs w:val="false"/>
          <w:color w:val="1C2833"/>
          <w:sz w:val="20"/>
          <w:szCs w:val="20"/>
        </w:rPr>
        <w:t xml:space="preserve">F. Visi: Membangun Kedokteran Indonesia yang Bermartabat dan Berkah</w:t>
      </w:r>
    </w:p>
    <w:p>
      <w:pPr>
        <w:spacing w:after="28" w:before="80"/>
        <w:ind/>
      </w:pPr>
      <w:r>
        <w:rPr>
          <w:rFonts w:ascii="Arial" w:cs="Arial" w:eastAsia="Arial" w:hAnsi="Arial"/>
          <w:b w:val="false"/>
          <w:bCs w:val="false"/>
          <w:color w:val="1C2833"/>
          <w:sz w:val="20"/>
          <w:szCs w:val="20"/>
        </w:rPr>
        <w:t xml:space="preserve"/>
      </w:r>
    </w:p>
    <w:p>
      <w:pPr>
        <w:spacing w:after="28" w:before="80"/>
        <w:ind/>
      </w:pPr>
      <w:r>
        <w:rPr>
          <w:rFonts w:ascii="Arial" w:cs="Arial" w:eastAsia="Arial" w:hAnsi="Arial"/>
          <w:b/>
          <w:bCs/>
          <w:color w:val="1A3A5C"/>
          <w:sz w:val="22"/>
          <w:szCs w:val="22"/>
        </w:rPr>
        <w:t xml:space="preserve">BAB 8. AKHLAK SEBAGAI SUMBER KEMANUSIAAN TERTINGGI DALAM KEDOKTERAN</w:t>
      </w:r>
    </w:p>
    <w:p>
      <w:pPr>
        <w:spacing w:after="28" w:before="28"/>
        <w:ind w:left="720"/>
      </w:pPr>
      <w:r>
        <w:rPr>
          <w:rFonts w:ascii="Arial" w:cs="Arial" w:eastAsia="Arial" w:hAnsi="Arial"/>
          <w:b w:val="false"/>
          <w:bCs w:val="false"/>
          <w:color w:val="1C2833"/>
          <w:sz w:val="20"/>
          <w:szCs w:val="20"/>
        </w:rPr>
        <w:t xml:space="preserve">A. Mengapa Etika Profesi Saja Tidak Cukup</w:t>
      </w:r>
    </w:p>
    <w:p>
      <w:pPr>
        <w:spacing w:after="28" w:before="28"/>
        <w:ind w:left="720"/>
      </w:pPr>
      <w:r>
        <w:rPr>
          <w:rFonts w:ascii="Arial" w:cs="Arial" w:eastAsia="Arial" w:hAnsi="Arial"/>
          <w:b w:val="false"/>
          <w:bCs w:val="false"/>
          <w:color w:val="1C2833"/>
          <w:sz w:val="20"/>
          <w:szCs w:val="20"/>
        </w:rPr>
        <w:t xml:space="preserve">B. Akhlak: Norma Sui Generis yang Bersumber dari Wahyu</w:t>
      </w:r>
    </w:p>
    <w:p>
      <w:pPr>
        <w:spacing w:after="28" w:before="28"/>
        <w:ind w:left="720"/>
      </w:pPr>
      <w:r>
        <w:rPr>
          <w:rFonts w:ascii="Arial" w:cs="Arial" w:eastAsia="Arial" w:hAnsi="Arial"/>
          <w:b w:val="false"/>
          <w:bCs w:val="false"/>
          <w:color w:val="1C2833"/>
          <w:sz w:val="20"/>
          <w:szCs w:val="20"/>
        </w:rPr>
        <w:t xml:space="preserve">C. Paradoks Normatif: Dokter yang Etis dan Legal namun Belum Tentu Berakhlak</w:t>
      </w:r>
    </w:p>
    <w:p>
      <w:pPr>
        <w:spacing w:after="28" w:before="28"/>
        <w:ind w:left="720"/>
      </w:pPr>
      <w:r>
        <w:rPr>
          <w:rFonts w:ascii="Arial" w:cs="Arial" w:eastAsia="Arial" w:hAnsi="Arial"/>
          <w:b w:val="false"/>
          <w:bCs w:val="false"/>
          <w:color w:val="1C2833"/>
          <w:sz w:val="20"/>
          <w:szCs w:val="20"/>
        </w:rPr>
        <w:t xml:space="preserve">D. Akhlak Dokter dalam Perspektif Al-Qur'an dan Sunnah</w:t>
      </w:r>
    </w:p>
    <w:p>
      <w:pPr>
        <w:spacing w:after="28" w:before="28"/>
        <w:ind w:left="720"/>
      </w:pPr>
      <w:r>
        <w:rPr>
          <w:rFonts w:ascii="Arial" w:cs="Arial" w:eastAsia="Arial" w:hAnsi="Arial"/>
          <w:b w:val="false"/>
          <w:bCs w:val="false"/>
          <w:color w:val="1C2833"/>
          <w:sz w:val="20"/>
          <w:szCs w:val="20"/>
        </w:rPr>
        <w:t xml:space="preserve">E. Membangun Akhlak: Dari Kepatuhan Menuju Karakter (Tazkiyatun Nafs)</w:t>
      </w:r>
    </w:p>
    <w:p>
      <w:pPr>
        <w:spacing w:after="28" w:before="28"/>
        <w:ind w:left="720"/>
      </w:pPr>
      <w:r>
        <w:rPr>
          <w:rFonts w:ascii="Arial" w:cs="Arial" w:eastAsia="Arial" w:hAnsi="Arial"/>
          <w:b w:val="false"/>
          <w:bCs w:val="false"/>
          <w:color w:val="1C2833"/>
          <w:sz w:val="20"/>
          <w:szCs w:val="20"/>
        </w:rPr>
        <w:t xml:space="preserve">F. Sintesis: Piramida Nilai dalam Kedokteran yang Manusiawi</w:t>
      </w:r>
    </w:p>
    <w:p>
      <w:pPr>
        <w:spacing w:after="28" w:before="80"/>
        <w:ind/>
      </w:pPr>
      <w:r>
        <w:rPr>
          <w:rFonts w:ascii="Arial" w:cs="Arial" w:eastAsia="Arial" w:hAnsi="Arial"/>
          <w:b w:val="false"/>
          <w:bCs w:val="false"/>
          <w:color w:val="1C2833"/>
          <w:sz w:val="20"/>
          <w:szCs w:val="20"/>
        </w:rPr>
        <w:t xml:space="preserve"/>
      </w:r>
    </w:p>
    <w:p>
      <w:pPr>
        <w:spacing w:after="28" w:before="80"/>
        <w:ind/>
      </w:pPr>
      <w:r>
        <w:rPr>
          <w:rFonts w:ascii="Arial" w:cs="Arial" w:eastAsia="Arial" w:hAnsi="Arial"/>
          <w:b/>
          <w:bCs/>
          <w:color w:val="1A3A5C"/>
          <w:sz w:val="22"/>
          <w:szCs w:val="22"/>
        </w:rPr>
        <w:t xml:space="preserve">BAB 9. BELAJAR DENGAN HATI DAN TANGAN</w:t>
      </w:r>
    </w:p>
    <w:p>
      <w:pPr>
        <w:spacing w:after="28" w:before="28"/>
        <w:ind w:left="720"/>
      </w:pPr>
      <w:r>
        <w:rPr>
          <w:rFonts w:ascii="Arial" w:cs="Arial" w:eastAsia="Arial" w:hAnsi="Arial"/>
          <w:b w:val="false"/>
          <w:bCs w:val="false"/>
          <w:color w:val="1C2833"/>
          <w:sz w:val="20"/>
          <w:szCs w:val="20"/>
        </w:rPr>
        <w:t xml:space="preserve">A. Petunjuk Penggunaan</w:t>
      </w:r>
    </w:p>
    <w:p>
      <w:pPr>
        <w:spacing w:after="28" w:before="28"/>
        <w:ind w:left="720"/>
      </w:pPr>
      <w:r>
        <w:rPr>
          <w:rFonts w:ascii="Arial" w:cs="Arial" w:eastAsia="Arial" w:hAnsi="Arial"/>
          <w:b w:val="false"/>
          <w:bCs w:val="false"/>
          <w:color w:val="1C2833"/>
          <w:sz w:val="20"/>
          <w:szCs w:val="20"/>
        </w:rPr>
        <w:t xml:space="preserve">B. Lima Skenario Naratif Klinis</w:t>
      </w:r>
    </w:p>
    <w:p>
      <w:pPr>
        <w:spacing w:after="28" w:before="28"/>
        <w:ind w:left="720"/>
      </w:pPr>
      <w:r>
        <w:rPr>
          <w:rFonts w:ascii="Arial" w:cs="Arial" w:eastAsia="Arial" w:hAnsi="Arial"/>
          <w:b w:val="false"/>
          <w:bCs w:val="false"/>
          <w:color w:val="1C2833"/>
          <w:sz w:val="20"/>
          <w:szCs w:val="20"/>
        </w:rPr>
        <w:t xml:space="preserve">C. Tiga Studi Kasus Klinis Komprehensif</w:t>
      </w:r>
    </w:p>
    <w:p>
      <w:pPr>
        <w:spacing w:after="28" w:before="28"/>
        <w:ind w:left="720"/>
      </w:pPr>
      <w:r>
        <w:rPr>
          <w:rFonts w:ascii="Arial" w:cs="Arial" w:eastAsia="Arial" w:hAnsi="Arial"/>
          <w:b w:val="false"/>
          <w:bCs w:val="false"/>
          <w:color w:val="1C2833"/>
          <w:sz w:val="20"/>
          <w:szCs w:val="20"/>
        </w:rPr>
        <w:t xml:space="preserve">D. Lima Latihan Refleksi dan Muhasabah Pribadi</w:t>
      </w:r>
    </w:p>
    <w:p>
      <w:pPr>
        <w:spacing w:after="28" w:before="28"/>
        <w:ind w:left="720"/>
      </w:pPr>
      <w:r>
        <w:rPr>
          <w:rFonts w:ascii="Arial" w:cs="Arial" w:eastAsia="Arial" w:hAnsi="Arial"/>
          <w:b w:val="false"/>
          <w:bCs w:val="false"/>
          <w:color w:val="1C2833"/>
          <w:sz w:val="20"/>
          <w:szCs w:val="20"/>
        </w:rPr>
        <w:t xml:space="preserve">E. Panduan untuk Fasilitator</w:t>
      </w:r>
    </w:p>
    <w:p>
      <w:pPr>
        <w:spacing w:after="28" w:before="80"/>
        <w:ind/>
      </w:pPr>
      <w:r>
        <w:rPr>
          <w:rFonts w:ascii="Arial" w:cs="Arial" w:eastAsia="Arial" w:hAnsi="Arial"/>
          <w:b w:val="false"/>
          <w:bCs w:val="false"/>
          <w:color w:val="1C2833"/>
          <w:sz w:val="20"/>
          <w:szCs w:val="20"/>
        </w:rPr>
        <w:t xml:space="preserve"/>
      </w:r>
    </w:p>
    <w:p>
      <w:pPr>
        <w:spacing w:after="28" w:before="28"/>
        <w:ind/>
      </w:pPr>
      <w:r>
        <w:rPr>
          <w:rFonts w:ascii="Arial" w:cs="Arial" w:eastAsia="Arial" w:hAnsi="Arial"/>
          <w:b w:val="false"/>
          <w:bCs w:val="false"/>
          <w:color w:val="1C2833"/>
          <w:sz w:val="20"/>
          <w:szCs w:val="20"/>
        </w:rPr>
        <w:t xml:space="preserve">Glosarium Istilah Kunci</w:t>
      </w:r>
    </w:p>
    <w:p>
      <w:pPr>
        <w:spacing w:after="28" w:before="28"/>
        <w:ind/>
      </w:pPr>
      <w:r>
        <w:rPr>
          <w:rFonts w:ascii="Arial" w:cs="Arial" w:eastAsia="Arial" w:hAnsi="Arial"/>
          <w:b w:val="false"/>
          <w:bCs w:val="false"/>
          <w:color w:val="1C2833"/>
          <w:sz w:val="20"/>
          <w:szCs w:val="20"/>
        </w:rPr>
        <w:t xml:space="preserve">Biografi Penulis</w:t>
      </w:r>
    </w:p>
    <w:p>
      <w:pPr>
        <w:spacing w:after="28" w:before="28"/>
        <w:ind/>
      </w:pPr>
      <w:r>
        <w:rPr>
          <w:rFonts w:ascii="Arial" w:cs="Arial" w:eastAsia="Arial" w:hAnsi="Arial"/>
          <w:b w:val="false"/>
          <w:bCs w:val="false"/>
          <w:color w:val="1C2833"/>
          <w:sz w:val="20"/>
          <w:szCs w:val="20"/>
        </w:rPr>
        <w:t xml:space="preserve">Sinopsis</w:t>
      </w:r>
    </w:p>
    <w:p>
      <w:r>
        <w:br w:type="page"/>
      </w:r>
    </w:p>
    <w:p>
      <w:pPr>
        <w:pStyle w:val="Heading1"/>
        <w:spacing w:after="220" w:before="440"/>
      </w:pPr>
      <w:r>
        <w:rPr>
          <w:rFonts w:ascii="Arial" w:cs="Arial" w:eastAsia="Arial" w:hAnsi="Arial"/>
          <w:b/>
          <w:bCs/>
          <w:color w:val="1A3A5C"/>
          <w:sz w:val="40"/>
          <w:szCs w:val="40"/>
        </w:rPr>
        <w:t xml:space="preserve">BAB 1: KEDOKTERAN DAN KEMANUSIAAN
WARISAN ILMU DARI PERADABAN ISLAM HINGGA KINI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A3A5C" w:sz="12"/>
              <w:left w:val="single" w:color="1A3A5C" w:sz="12"/>
              <w:bottom w:val="single" w:color="1A3A5C" w:sz="12"/>
              <w:right w:val="single" w:color="1A3A5C" w:sz="12"/>
            </w:tcBorders>
            <w:shd w:fill="F4F6F7" w:val="clear"/>
            <w:tcMar>
              <w:top w:type="dxa" w:w="180"/>
              <w:left w:type="dxa" w:w="260"/>
              <w:bottom w:type="dxa" w:w="180"/>
              <w:right w:type="dxa" w:w="260"/>
            </w:tcMar>
          </w:tcPr>
          <w:p>
            <w:pPr>
              <w:spacing w:after="120" w:before="0"/>
              <w:jc w:val="center"/>
            </w:pPr>
            <w:r>
              <w:rPr>
                <w:rFonts w:ascii="Arial" w:cs="Arial" w:eastAsia="Arial" w:hAnsi="Arial"/>
                <w:b/>
                <w:bCs/>
                <w:color w:val="1A3A5C"/>
                <w:sz w:val="24"/>
                <w:szCs w:val="24"/>
              </w:rPr>
              <w:t xml:space="preserve">TUJUAN PEMBELAJARAN</w:t>
            </w:r>
          </w:p>
          <w:p>
            <w:pPr>
              <w:spacing w:after="40" w:before="60"/>
            </w:pPr>
            <w:r>
              <w:rPr>
                <w:rFonts w:ascii="Arial" w:cs="Arial" w:eastAsia="Arial" w:hAnsi="Arial"/>
                <w:b/>
                <w:bCs/>
                <w:color w:val="0E7C7B"/>
                <w:sz w:val="20"/>
                <w:szCs w:val="20"/>
              </w:rPr>
              <w:t xml:space="preserve">🎯 Kognitif:</w:t>
            </w:r>
          </w:p>
          <w:p>
            <w:pPr>
              <w:spacing w:after="80" w:before="20"/>
            </w:pPr>
            <w:r>
              <w:rPr>
                <w:rFonts w:ascii="Arial" w:cs="Arial" w:eastAsia="Arial" w:hAnsi="Arial"/>
                <w:color w:val="1C2833"/>
                <w:sz w:val="20"/>
                <w:szCs w:val="20"/>
              </w:rPr>
              <w:t xml:space="preserve">Mahasiswa mampu menjelaskan konsep humaniora kedokteran dan kaitannya dengan maqashid syariah, khususnya hifzh al-nafs; membedakan pendekatan biomedis murni dan pendekatan humanistik-Islami; menjelaskan kontribusi ilmuwan Muslim klasik (Ibnu Sina, Al-Razi, Ibnu Nafis) dalam sejarah kedokteran dunia; serta menganalisis fondasi filosofis dokter yang utuh.</w:t>
            </w:r>
          </w:p>
          <w:p>
            <w:pPr>
              <w:spacing w:after="40" w:before="60"/>
            </w:pPr>
            <w:r>
              <w:rPr>
                <w:rFonts w:ascii="Arial" w:cs="Arial" w:eastAsia="Arial" w:hAnsi="Arial"/>
                <w:b/>
                <w:bCs/>
                <w:color w:val="0E7C7B"/>
                <w:sz w:val="20"/>
                <w:szCs w:val="20"/>
              </w:rPr>
              <w:t xml:space="preserve">🔧 Psikomotor:</w:t>
            </w:r>
          </w:p>
          <w:p>
            <w:pPr>
              <w:spacing w:after="80" w:before="20"/>
            </w:pPr>
            <w:r>
              <w:rPr>
                <w:rFonts w:ascii="Arial" w:cs="Arial" w:eastAsia="Arial" w:hAnsi="Arial"/>
                <w:color w:val="1C2833"/>
                <w:sz w:val="20"/>
                <w:szCs w:val="20"/>
              </w:rPr>
              <w:t xml:space="preserve">Mahasiswa mampu mendemonstrasikan active listening dalam simulasi konsultasi yang dilandasi adab Islam; mempraktikkan komunikasi empatik dalam skenario klinis; dan menyusun refleksi tertulis dari pengalaman klinis dengan perspektif humanistik-Islami.</w:t>
            </w:r>
          </w:p>
          <w:p>
            <w:pPr>
              <w:spacing w:after="40" w:before="60"/>
            </w:pPr>
            <w:r>
              <w:rPr>
                <w:rFonts w:ascii="Arial" w:cs="Arial" w:eastAsia="Arial" w:hAnsi="Arial"/>
                <w:b/>
                <w:bCs/>
                <w:color w:val="0E7C7B"/>
                <w:sz w:val="20"/>
                <w:szCs w:val="20"/>
              </w:rPr>
              <w:t xml:space="preserve">💡 Afektif:</w:t>
            </w:r>
          </w:p>
          <w:p>
            <w:pPr>
              <w:spacing w:after="40" w:before="20"/>
            </w:pPr>
            <w:r>
              <w:rPr>
                <w:rFonts w:ascii="Arial" w:cs="Arial" w:eastAsia="Arial" w:hAnsi="Arial"/>
                <w:color w:val="1C2833"/>
                <w:sz w:val="20"/>
                <w:szCs w:val="20"/>
              </w:rPr>
              <w:t xml:space="preserve">Mahasiswa menunjukkan kepedulian tulus terhadap martabat dan kebutuhan emosional pasien sebagai bentuk ibadah; mengembangkan kebanggaan terhadap warisan keilmuan Islam dalam kedokteran; dan berkomitmen menjadi thabib rabbani — dokter yang utuh secara keilmuan dan akhlak.</w:t>
            </w:r>
          </w:p>
        </w:tc>
      </w:tr>
    </w:tbl>
    <w:p>
      <w:pPr>
        <w:spacing w:after="100" w:before="0"/>
      </w:pPr>
      <w:r>
        <w:t xml:space="preserve"/>
      </w:r>
    </w:p>
    <w:p>
      <w:pPr>
        <w:pStyle w:val="Heading2"/>
        <w:spacing w:after="140" w:before="300"/>
      </w:pPr>
      <w:r>
        <w:rPr>
          <w:rFonts w:ascii="Arial" w:cs="Arial" w:eastAsia="Arial" w:hAnsi="Arial"/>
          <w:b/>
          <w:bCs/>
          <w:color w:val="1F5F8B"/>
          <w:sz w:val="30"/>
          <w:szCs w:val="30"/>
        </w:rPr>
        <w:t xml:space="preserve">A. Mengapa Kedokteran Perlu Jiwa?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barangsiapa yang memelihara kehidupan seorang manusia, maka seolah-olah ia telah memelihara kehidupan manusia semuanya." (QS. Al-Ma'idah: 32). Ayat ini menjadi fondasi etis Islam tentang nilai kehidupan manusia yang menempatkan profesi kedokteran dalam posisi yang sangat mulia sekaligus sangat bertanggung jawab.</w:t>
            </w:r>
          </w:p>
          <w:p>
            <w:pPr>
              <w:spacing w:after="50" w:before="20"/>
              <w:jc w:val="center"/>
            </w:pPr>
            <w:r>
              <w:rPr>
                <w:rFonts w:ascii="Arial" w:cs="Arial" w:eastAsia="Arial" w:hAnsi="Arial"/>
                <w:color w:val="8B6914"/>
                <w:sz w:val="18"/>
                <w:szCs w:val="18"/>
              </w:rPr>
              <w:t xml:space="preserve">— QS. Al-Ma'idah (5): 32</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Kedokteran modern telah mencapai puncak kemajuan teknis yang menakjubkan: pencitraan MRI dengan resolusi sub-milimeter, imunoterapi kanker berbasis sistem imun tubuh, genomik presisi, dan kecerdasan buatan diagnostik. Namun di balik kemajuan luar biasa tersebut, sebuah pertanyaan mendasar terus menggema: apakah kemajuan teknis semata sudah cukup untuk membentuk seorang dokter yang benar-benar baik?</w:t>
      </w:r>
    </w:p>
    <w:p>
      <w:pPr>
        <w:spacing w:after="140" w:before="100" w:line="380" w:lineRule="auto"/>
        <w:jc w:val="both"/>
      </w:pPr>
      <w:r>
        <w:rPr>
          <w:rFonts w:ascii="Arial" w:cs="Arial" w:eastAsia="Arial" w:hAnsi="Arial"/>
          <w:color w:val="1C2833"/>
          <w:sz w:val="22"/>
          <w:szCs w:val="22"/>
        </w:rPr>
        <w:t xml:space="preserve">Jawabannya, berdasarkan bukti empiris, adalah tidak. Penelitian Birden et al. (2013) dalam systematic review yang dipublikasikan di Medical Teacher menunjukkan bahwa pasien secara konsisten menilai kualitas perawatan bukan semata dari keberhasilan prosedur teknis, melainkan dari bagaimana mereka diperlakukan sebagai manusia — apakah mereka didengar, dihormati, dan dipahami. Data WHO (2021) mengungkapkan bahwa lebih dari 30% pasien di negara berkembang menunda layanan kesehatan bukan karena ketiadaan fasilitas, tetapi karena pengalaman buruk dalam komunikasi dengan tenaga kesehatan sebelumnya. Riskesdas 2018 mencatat fenomena serupa di Indonesia.</w:t>
      </w:r>
    </w:p>
    <w:p>
      <w:pPr>
        <w:spacing w:after="140" w:before="100" w:line="380" w:lineRule="auto"/>
        <w:jc w:val="both"/>
      </w:pPr>
      <w:r>
        <w:rPr>
          <w:rFonts w:ascii="Arial" w:cs="Arial" w:eastAsia="Arial" w:hAnsi="Arial"/>
          <w:color w:val="1C2833"/>
          <w:sz w:val="22"/>
          <w:szCs w:val="22"/>
        </w:rPr>
        <w:t xml:space="preserve">Kenyataan ini mengungkap kesenjangan fundamental: kita mengajarkan mahasiswa cara mendiagnosis penyakit dengan presisi tinggi, tetapi jarang mengajarkan cara mengelola ketakutan pasien yang datang dengan kecemasan mendalam. Kita melatih tangan untuk prosedur teknis, tetapi sering melupakan hati yang harus hadir penuh dalam setiap interaksi. Inilah titik berangkat buku ini.</w:t>
      </w:r>
    </w:p>
    <w:p>
      <w:pPr>
        <w:spacing w:after="80" w:before="160"/>
        <w:jc w:val="both"/>
      </w:pPr>
      <w:r>
        <w:rPr>
          <w:rFonts w:ascii="Arial" w:cs="Arial" w:eastAsia="Arial" w:hAnsi="Arial"/>
          <w:b/>
          <w:bCs/>
          <w:color w:val="1A3A5C"/>
          <w:sz w:val="22"/>
          <w:szCs w:val="22"/>
        </w:rPr>
        <w:t xml:space="preserve">Kedokteran sebagai Praktik Kemanusiaan</w:t>
      </w:r>
    </w:p>
    <w:p>
      <w:pPr>
        <w:spacing w:after="140" w:before="100" w:line="380" w:lineRule="auto"/>
        <w:jc w:val="both"/>
      </w:pPr>
      <w:r>
        <w:rPr>
          <w:rFonts w:ascii="Arial" w:cs="Arial" w:eastAsia="Arial" w:hAnsi="Arial"/>
          <w:color w:val="1C2833"/>
          <w:sz w:val="22"/>
          <w:szCs w:val="22"/>
        </w:rPr>
        <w:t xml:space="preserve">Filsuf Maurice Merleau-Ponty (1962) dalam Phenomenology of Perception berargumen bahwa tubuh manusia bukan sekadar objek mekanik, melainkan subjek yang hidup dan bermakna. Ketika seseorang didiagnosis dengan penyakit kronis, ia tidak hanya menghadapi tantangan biologis — ia menghadapi perubahan total dalam cara menghayati hidupnya: identitas, relasi sosial, harapan masa depan, dan makna hidupnya ikut terpengaruh. Dari perspektif Islam, Al-Qur'an menegaskan bahwa Allah telah memuliakan anak cucu Adam (QS. Al-Isra: 70), sehingga setiap tindakan klinis yang menghormati martabat pasien adalah manifestasi penghormatan terhadap ketetapan Allah.</w:t>
      </w:r>
    </w:p>
    <w:p>
      <w:pPr>
        <w:spacing w:after="80" w:before="160"/>
        <w:jc w:val="both"/>
      </w:pPr>
      <w:r>
        <w:rPr>
          <w:rFonts w:ascii="Arial" w:cs="Arial" w:eastAsia="Arial" w:hAnsi="Arial"/>
          <w:b/>
          <w:bCs/>
          <w:color w:val="1A3A5C"/>
          <w:sz w:val="22"/>
          <w:szCs w:val="22"/>
        </w:rPr>
        <w:t xml:space="preserve">Fenomena Technocentric Drift</w:t>
      </w:r>
    </w:p>
    <w:p>
      <w:pPr>
        <w:spacing w:after="140" w:before="100" w:line="380" w:lineRule="auto"/>
        <w:jc w:val="both"/>
      </w:pPr>
      <w:r>
        <w:rPr>
          <w:rFonts w:ascii="Arial" w:cs="Arial" w:eastAsia="Arial" w:hAnsi="Arial"/>
          <w:color w:val="1C2833"/>
          <w:sz w:val="22"/>
          <w:szCs w:val="22"/>
        </w:rPr>
        <w:t xml:space="preserve">Whitfield (2010) mencatat fenomena yang ia sebut sebagai technocentric drift: pergeseran bertahap perhatian klinisi dari pasien sebagai manusia utuh menuju pasien sebagai kasus teknis yang perlu diselesaikan. Fenomena ini tidak muncul dari niat buruk, melainkan terjadi secara gradual akibat tekanan waktu, dominasi teknologi dalam pendidikan, dan sistem reward yang lebih menghargai prosedur teknis daripada kualitas interaksi manusiawi. Merespons ini, World Federation for Medical Education (WFME, 2015) memasukkan kompetensi humanistik sebagai standar global pendidikan dokter. Di Indonesia, Standar Kompetensi Dokter Indonesia (SKDI, 2012) menempatkan Area Kompetensi 1 (Profesionalisme, Mawas Diri, dan Pengembangan Diri) sebagai fondasi pertama dari tujuh area kompetensi.</w:t>
      </w:r>
    </w:p>
    <w:p>
      <w:pPr>
        <w:pStyle w:val="Heading2"/>
        <w:spacing w:after="140" w:before="300"/>
      </w:pPr>
      <w:r>
        <w:rPr>
          <w:rFonts w:ascii="Arial" w:cs="Arial" w:eastAsia="Arial" w:hAnsi="Arial"/>
          <w:b/>
          <w:bCs/>
          <w:color w:val="1F5F8B"/>
          <w:sz w:val="30"/>
          <w:szCs w:val="30"/>
        </w:rPr>
        <w:t xml:space="preserve">B. Humaniora dan Maqashid Syariah: Hifzh al-Nafs sebagai Fondasi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"Setiap penyakit ada obatnya. Apabila obatnya tepat mengenai penyakit, maka dengan izin Allah penyakit itu akan sembuh." (HR. Muslim No. 2204). Hadits ini menegaskan keyakinan Islam bahwa usaha pengobatan adalah perintah agama, mendorong tradisi keilmuan kedokteran Islam yang sangat kaya.</w:t>
            </w:r>
          </w:p>
          <w:p>
            <w:pPr>
              <w:spacing w:after="50" w:before="20"/>
              <w:jc w:val="center"/>
            </w:pPr>
            <w:r>
              <w:rPr>
                <w:rFonts w:ascii="Arial" w:cs="Arial" w:eastAsia="Arial" w:hAnsi="Arial"/>
                <w:color w:val="8B6914"/>
                <w:sz w:val="18"/>
                <w:szCs w:val="18"/>
              </w:rPr>
              <w:t xml:space="preserve">— HR. Muslim, Shahih Muslim No. 2204</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Kata humaniora berasal dari bahasa Latin humanitas — keunggulan dan keutamaan manusiawi — yang dikembangkan oleh pemikir Romawi seperti Cicero untuk menggambarkan pendidikan yang membentuk manusia seutuhnya (Nussbaum, 1997). Dalam konteks akademik kontemporer, humaniora mencakup filsafat, etika, sejarah, bahasa, sastra, seni, dan budaya — disiplin yang mempelajari kondisi manusia melalui pendekatan interpretatif dan kritis.</w:t>
      </w:r>
    </w:p>
    <w:p>
      <w:pPr>
        <w:spacing w:after="80" w:before="160"/>
        <w:jc w:val="both"/>
      </w:pPr>
      <w:r>
        <w:rPr>
          <w:rFonts w:ascii="Arial" w:cs="Arial" w:eastAsia="Arial" w:hAnsi="Arial"/>
          <w:b/>
          <w:bCs/>
          <w:color w:val="1A3A5C"/>
          <w:sz w:val="22"/>
          <w:szCs w:val="22"/>
        </w:rPr>
        <w:t xml:space="preserve">Maqashid Syariah: Kerangka Teoritis Islam bagi Kedokteran Humanis</w:t>
      </w:r>
    </w:p>
    <w:p>
      <w:pPr>
        <w:spacing w:after="140" w:before="100" w:line="380" w:lineRule="auto"/>
        <w:jc w:val="both"/>
      </w:pPr>
      <w:r>
        <w:rPr>
          <w:rFonts w:ascii="Arial" w:cs="Arial" w:eastAsia="Arial" w:hAnsi="Arial"/>
          <w:color w:val="1C2833"/>
          <w:sz w:val="22"/>
          <w:szCs w:val="22"/>
        </w:rPr>
        <w:t xml:space="preserve">Maqashid syariah menyediakan kerangka teoritis yang sangat relevan bagi humaniora kedokteran. Para ulama ushul fiqih seperti Al-Syatibi (790 H/1997) dalam Al-Muwafaqat dan Al-Zuhaili (1986) dalam Ushul al-Fiqh al-Islami mengidentifikasi lima maqashid utama: hifzh al-din (penjagaan agama), hifzh al-nafs (penjagaan jiwa/nyawa), hifzh al-'aql (penjagaan akal), hifzh al-nasl (penjagaan keturunan), dan hifzh al-mal (penjagaan harta). Praktik kedokteran berhubungan langsung dengan hifzh al-nafs — yang menjadi landasan filosofis bagi seluruh upaya pencegahan, diagnosis, pengobatan, dan rehabilitasi medis.</w:t>
      </w:r>
    </w:p>
    <w:p>
      <w:pPr>
        <w:spacing w:after="140" w:before="100" w:line="380" w:lineRule="auto"/>
        <w:jc w:val="both"/>
      </w:pPr>
      <w:r>
        <w:rPr>
          <w:rFonts w:ascii="Arial" w:cs="Arial" w:eastAsia="Arial" w:hAnsi="Arial"/>
          <w:color w:val="1C2833"/>
          <w:sz w:val="22"/>
          <w:szCs w:val="22"/>
        </w:rPr>
        <w:t xml:space="preserve">Dalam tradisi keilmuan Islam, terdapat ungkapan yang sangat relevan: al-adabu qabla al-'ilm (adab mendahului ilmu). Para ulama besar seperti Imam Malik menekankan kepada murid-muridnya untuk mempelajari adab sebelum ilmu. Prinsip ini secara mengejutkan sejalan dengan temuan Larson &amp; Yao (2005) dalam JAMA: dokter dengan pelatihan humaniora yang lebih kuat menunjukkan burnout yang lebih rendah, kepuasan pasien yang lebih tinggi, dan lebih jarang menghadapi tuntutan malpraktik.</w:t>
      </w:r>
    </w:p>
    <w:p>
      <w:pPr>
        <w:pStyle w:val="Heading2"/>
        <w:spacing w:after="140" w:before="300"/>
      </w:pPr>
      <w:r>
        <w:rPr>
          <w:rFonts w:ascii="Arial" w:cs="Arial" w:eastAsia="Arial" w:hAnsi="Arial"/>
          <w:b/>
          <w:bCs/>
          <w:color w:val="1F5F8B"/>
          <w:sz w:val="30"/>
          <w:szCs w:val="30"/>
        </w:rPr>
        <w:t xml:space="preserve">C. Warisan Kedokteran Islam: Ibnu Sina, Al-Razi, dan Ibnu Nafis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"Allah tidak menurunkan penyakit kecuali Dia turunkan pula obatnya." (HR. Bukhari No. 5678). Keyakinan ini mendorong ilmuwan Muslim untuk tekun mencari obat bagi setiap penyakit, menghasilkan warisan ilmu kedokteran yang mendunia.</w:t>
            </w:r>
          </w:p>
          <w:p>
            <w:pPr>
              <w:spacing w:after="50" w:before="20"/>
              <w:jc w:val="center"/>
            </w:pPr>
            <w:r>
              <w:rPr>
                <w:rFonts w:ascii="Arial" w:cs="Arial" w:eastAsia="Arial" w:hAnsi="Arial"/>
                <w:color w:val="8B6914"/>
                <w:sz w:val="18"/>
                <w:szCs w:val="18"/>
              </w:rPr>
              <w:t xml:space="preserve">— HR. Bukhari, Shahih Bukhari No. 5678</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Peradaban Islam memberikan kontribusi luar biasa terhadap perkembangan ilmu kedokteran dunia antara abad ke-9 hingga ke-13 Masehi. Memahami warisan ini penting secara epistemologis: ia menegaskan bahwa antara tradisi keilmuan Islam dan sains kedokteran modern tidak ada dikotomi yang inheren.</w:t>
      </w:r>
    </w:p>
    <w:p>
      <w:pPr>
        <w:spacing w:after="80" w:before="160"/>
        <w:jc w:val="both"/>
      </w:pPr>
      <w:r>
        <w:rPr>
          <w:rFonts w:ascii="Arial" w:cs="Arial" w:eastAsia="Arial" w:hAnsi="Arial"/>
          <w:b/>
          <w:bCs/>
          <w:color w:val="1A3A5C"/>
          <w:sz w:val="22"/>
          <w:szCs w:val="22"/>
        </w:rPr>
        <w:t xml:space="preserve">Ibnu Sina (Avicenna, 980-1037 M): Bapak Kedokteran Dunia</w:t>
      </w:r>
    </w:p>
    <w:p>
      <w:pPr>
        <w:spacing w:after="140" w:before="100" w:line="380" w:lineRule="auto"/>
        <w:jc w:val="both"/>
      </w:pPr>
      <w:r>
        <w:rPr>
          <w:rFonts w:ascii="Arial" w:cs="Arial" w:eastAsia="Arial" w:hAnsi="Arial"/>
          <w:color w:val="1C2833"/>
          <w:sz w:val="22"/>
          <w:szCs w:val="22"/>
        </w:rPr>
        <w:t xml:space="preserve">Abu Ali al-Husayn ibn Sina menyelesaikan hafalan Al-Qur'an pada usia 10 tahun dan berhasil menyembuhkan Sultan Nuh II dari Samaniyah pada usia 18 tahun. Karya monumentalnya Al-Qanun fi al-Tibb (The Canon of Medicine, 1025 M) — ensiklopedia kedokteran lima jilid — diterjemahkan ke bahasa Latin pada abad ke-12 oleh Gerard dari Cremona dan menjadi rujukan standar pendidikan kedokteran di universitas-universitas Eropa selama lebih dari enam abad (Dalfardi et al., 2014). Kontribusi ilmiah Ibnu Sina yang menonjol mencakup: deskripsi rinci lebih dari 760 kondisi medis, pengakuan eksplisit tentang pentingnya kondisi psikologis dalam kesehatan fisik — mendahului model biopsikososial Engel (1977) hampir satu milenium — dan metodologi karantina untuk mencegah penyebaran penyakit menular.</w:t>
      </w:r>
    </w:p>
    <w:p>
      <w:pPr>
        <w:spacing w:after="80" w:before="160"/>
        <w:jc w:val="both"/>
      </w:pPr>
      <w:r>
        <w:rPr>
          <w:rFonts w:ascii="Arial" w:cs="Arial" w:eastAsia="Arial" w:hAnsi="Arial"/>
          <w:b/>
          <w:bCs/>
          <w:color w:val="1A3A5C"/>
          <w:sz w:val="22"/>
          <w:szCs w:val="22"/>
        </w:rPr>
        <w:t xml:space="preserve">Al-Razi (Rhazes, 854-925 M): Pelopor Metode Ilmiah dalam Klinik</w:t>
      </w:r>
    </w:p>
    <w:p>
      <w:pPr>
        <w:spacing w:after="140" w:before="100" w:line="380" w:lineRule="auto"/>
        <w:jc w:val="both"/>
      </w:pPr>
      <w:r>
        <w:rPr>
          <w:rFonts w:ascii="Arial" w:cs="Arial" w:eastAsia="Arial" w:hAnsi="Arial"/>
          <w:color w:val="1C2833"/>
          <w:sz w:val="22"/>
          <w:szCs w:val="22"/>
        </w:rPr>
        <w:t xml:space="preserve">Al-Razi menulis lebih dari 200 karya kedokteran. Kontribusinya yang paling dikenal secara internasional adalah deskripsi pertama dalam sejarah kedokteran yang membedakan cacar (smallpox) dari campak (measles) sebagai dua penyakit yang berbeda — sebuah karya epidemiologi berbasis pengamatan sistematis yang menjadi fondasi diagnosis diferensial modern. Al-Razi juga merintis penggunaan bahan-bahan kimia dalam pengobatan.</w:t>
      </w:r>
    </w:p>
    <w:p>
      <w:pPr>
        <w:spacing w:after="80" w:before="160"/>
        <w:jc w:val="both"/>
      </w:pPr>
      <w:r>
        <w:rPr>
          <w:rFonts w:ascii="Arial" w:cs="Arial" w:eastAsia="Arial" w:hAnsi="Arial"/>
          <w:b/>
          <w:bCs/>
          <w:color w:val="1A3A5C"/>
          <w:sz w:val="22"/>
          <w:szCs w:val="22"/>
        </w:rPr>
        <w:t xml:space="preserve">Ibnu Nafis (1213-1288 M): Penemu Sirkulasi Paru</w:t>
      </w:r>
    </w:p>
    <w:p>
      <w:pPr>
        <w:spacing w:after="140" w:before="100" w:line="380" w:lineRule="auto"/>
        <w:jc w:val="both"/>
      </w:pPr>
      <w:r>
        <w:rPr>
          <w:rFonts w:ascii="Arial" w:cs="Arial" w:eastAsia="Arial" w:hAnsi="Arial"/>
          <w:color w:val="1C2833"/>
          <w:sz w:val="22"/>
          <w:szCs w:val="22"/>
        </w:rPr>
        <w:t xml:space="preserve">Ibnu al-Nafis dalam karyanya Sharh Tashrih al-Qanun menemukan sirkulasi paru (pulmonary circulation): deskripsi akurat tentang bagaimana darah mengalir dari ventrikel kanan jantung melalui paru-paru menuju ventrikel kiri. Penemuan ini mendahului penemuan serupa oleh William Harvey di Eropa sekitar tiga abad kemudian (1628 M). Warisan ketiga ilmuwan ini menegaskan bahwa etos keilmuan Islam — yang didorong keyakinan bahwa menuntut ilmu adalah ibadah — menjadi salah satu daya dorong terbesar kemajuan ilmu pengetahuan, termasuk kedokteran.</w:t>
      </w:r>
    </w:p>
    <w:p>
      <w:pPr>
        <w:pStyle w:val="Heading2"/>
        <w:spacing w:after="140" w:before="300"/>
      </w:pPr>
      <w:r>
        <w:rPr>
          <w:rFonts w:ascii="Arial" w:cs="Arial" w:eastAsia="Arial" w:hAnsi="Arial"/>
          <w:b/>
          <w:bCs/>
          <w:color w:val="1F5F8B"/>
          <w:sz w:val="30"/>
          <w:szCs w:val="30"/>
        </w:rPr>
        <w:t xml:space="preserve">D. Filsafat Manusia dalam Perspektif Islam dan Barat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sesungguhnya telah Kami muliakan anak-anak Adam." (QS. Al-Isra: 70). Pemulian manusia ini menjadi landasan ontologis bagi penghormatan terhadap setiap pasien tanpa terkecuali, tanpa memandang kondisi fisik, status sosial, atau kemampuan finansialnya.</w:t>
            </w:r>
          </w:p>
          <w:p>
            <w:pPr>
              <w:spacing w:after="50" w:before="20"/>
              <w:jc w:val="center"/>
            </w:pPr>
            <w:r>
              <w:rPr>
                <w:rFonts w:ascii="Arial" w:cs="Arial" w:eastAsia="Arial" w:hAnsi="Arial"/>
                <w:color w:val="8B6914"/>
                <w:sz w:val="18"/>
                <w:szCs w:val="18"/>
              </w:rPr>
              <w:t xml:space="preserve">— QS. Al-Isra (17): 70</w:t>
            </w:r>
          </w:p>
        </w:tc>
      </w:tr>
    </w:tbl>
    <w:p>
      <w:pPr>
        <w:spacing w:after="100" w:before="0"/>
      </w:pPr>
      <w:r>
        <w:t xml:space="preserve"/>
      </w:r>
    </w:p>
    <w:p>
      <w:pPr>
        <w:spacing w:after="80" w:before="160"/>
        <w:jc w:val="both"/>
      </w:pPr>
      <w:r>
        <w:rPr>
          <w:rFonts w:ascii="Arial" w:cs="Arial" w:eastAsia="Arial" w:hAnsi="Arial"/>
          <w:b/>
          <w:bCs/>
          <w:color w:val="1A3A5C"/>
          <w:sz w:val="22"/>
          <w:szCs w:val="22"/>
        </w:rPr>
        <w:t xml:space="preserve">Model Biopsikososial: Melampaui Reduksionisme</w:t>
      </w:r>
    </w:p>
    <w:p>
      <w:pPr>
        <w:spacing w:after="140" w:before="100" w:line="380" w:lineRule="auto"/>
        <w:jc w:val="both"/>
      </w:pPr>
      <w:r>
        <w:rPr>
          <w:rFonts w:ascii="Arial" w:cs="Arial" w:eastAsia="Arial" w:hAnsi="Arial"/>
          <w:color w:val="1C2833"/>
          <w:sz w:val="22"/>
          <w:szCs w:val="22"/>
        </w:rPr>
        <w:t xml:space="preserve">Islam memandang manusia sebagai makhluk yang dimuliakan Allah (mukarram), ditugaskan sebagai khalifah di muka bumi (QS. Al-Baqarah: 30), dan memiliki dimensi ruhiyah yang tidak terpisahkan dari dimensi fisik, psikologis, dan sosialnya. George Engel (1977) menantang reduksionisme biomedis dengan model biopsikososial yang mengintegrasikan ketiga dimensi tersebut. Dalam perspektif Islam, model ini perlu diperluas dengan dimensi keempat yang esensial: dimensi spiritual, yang sangat memengaruhi pengalaman sakit dan proses penyembuhan pasien Muslim.</w:t>
      </w:r>
    </w:p>
    <w:p>
      <w:pPr>
        <w:spacing w:after="80" w:before="160"/>
        <w:jc w:val="both"/>
      </w:pPr>
      <w:r>
        <w:rPr>
          <w:rFonts w:ascii="Arial" w:cs="Arial" w:eastAsia="Arial" w:hAnsi="Arial"/>
          <w:b/>
          <w:bCs/>
          <w:color w:val="1A3A5C"/>
          <w:sz w:val="22"/>
          <w:szCs w:val="22"/>
        </w:rPr>
        <w:t xml:space="preserve">Frankl, Buber, dan Tradisi Filsafat Barat</w:t>
      </w:r>
    </w:p>
    <w:p>
      <w:pPr>
        <w:spacing w:after="140" w:before="100" w:line="380" w:lineRule="auto"/>
        <w:jc w:val="both"/>
      </w:pPr>
      <w:r>
        <w:rPr>
          <w:rFonts w:ascii="Arial" w:cs="Arial" w:eastAsia="Arial" w:hAnsi="Arial"/>
          <w:color w:val="1C2833"/>
          <w:sz w:val="22"/>
          <w:szCs w:val="22"/>
        </w:rPr>
        <w:t xml:space="preserve">Viktor Frankl (1959) dalam Man's Search for Meaning mengembangkan logoterapi berdasarkan keyakinan bahwa pencarian makna adalah motivasi utama manusia. Bagi pasien yang didiagnosis penyakit berat, dokter yang memahami dimensi makna ini menawarkan lebih dari sekadar terapi — ia menawarkan jalan menuju pemulihan martabat. Martin Buber (1923) membedakan relasi I-It (pasien sebagai objek) dan I-Thou (pasien sebagai subjek). Kedokteran yang manusiawi beroperasi dalam mode I-Thou: pasien adalah Pak Ahmad, 58 tahun, guru SD yang khawatir tentang siapa yang akan mengajar muridnya selama ia dirawat — bukan sekadar 'kasus appendisitis di bed 7'.</w:t>
      </w:r>
    </w:p>
    <w:p>
      <w:pPr>
        <w:pStyle w:val="Heading2"/>
        <w:spacing w:after="140" w:before="300"/>
      </w:pPr>
      <w:r>
        <w:rPr>
          <w:rFonts w:ascii="Arial" w:cs="Arial" w:eastAsia="Arial" w:hAnsi="Arial"/>
          <w:b/>
          <w:bCs/>
          <w:color w:val="1F5F8B"/>
          <w:sz w:val="30"/>
          <w:szCs w:val="30"/>
        </w:rPr>
        <w:t xml:space="preserve">E. Anatomi Hubungan Dokter-Pasien sebagai Amanah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"Sesungguhnya Allah menyuruh kamu menyampaikan amanat kepada yang berhak menerimanya." (QS. An-Nisa: 58). Kepercayaan yang diberikan pasien kepada dokter adalah amanah yang harus dijaga dengan integritas total, kejujuran yang tidak tergoyahkan, dan keberpihakan yang konsisten pada kepentingan pasien.</w:t>
            </w:r>
          </w:p>
          <w:p>
            <w:pPr>
              <w:spacing w:after="50" w:before="20"/>
              <w:jc w:val="center"/>
            </w:pPr>
            <w:r>
              <w:rPr>
                <w:rFonts w:ascii="Arial" w:cs="Arial" w:eastAsia="Arial" w:hAnsi="Arial"/>
                <w:color w:val="8B6914"/>
                <w:sz w:val="18"/>
                <w:szCs w:val="18"/>
              </w:rPr>
              <w:t xml:space="preserve">— QS. An-Nisa (4): 58</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Ketika seorang pasien duduk di hadapan dokter, terjadi tiga asimetri struktural yang perlu disadari (Veatch &amp; Fry, 1987): asimetri pengetahuan (pasien bergantung sepenuhnya pada penjelasan dokter), asimetri emosional (pasien hadir dengan kecemasan mendalam), dan asimetri kewenangan (dokter memiliki otoritas merekomendasikan tindakan). Dalam kerangka Islam, ketiga asimetri ini menciptakan amanah yang sangat besar.</w:t>
      </w:r>
    </w:p>
    <w:p>
      <w:pPr>
        <w:spacing w:after="140" w:before="100" w:line="380" w:lineRule="auto"/>
        <w:jc w:val="both"/>
      </w:pPr>
      <w:r>
        <w:rPr>
          <w:rFonts w:ascii="Arial" w:cs="Arial" w:eastAsia="Arial" w:hAnsi="Arial"/>
          <w:color w:val="1C2833"/>
          <w:sz w:val="22"/>
          <w:szCs w:val="22"/>
        </w:rPr>
        <w:t xml:space="preserve">Emanuel &amp; Emanuel (1992) mengidentifikasi empat model hubungan dokter-pasien: Paternalistik, Informatif, Interpretatif, dan Deliberatif. Kedokteran yang manusiawi bergerak menuju model interpretatif dan deliberatif. Prinsip syura (musyawarah, QS. Asy-Syura: 38) memberikan landasan teologis yang kuat bagi pendekatan deliberatif ini — keputusan penting sebaiknya melibatkan dialog terbuka, bukan otoritas sepihak.</w:t>
      </w:r>
    </w:p>
    <w:p>
      <w:pPr>
        <w:pStyle w:val="Heading2"/>
        <w:spacing w:after="140" w:before="300"/>
      </w:pPr>
      <w:r>
        <w:rPr>
          <w:rFonts w:ascii="Arial" w:cs="Arial" w:eastAsia="Arial" w:hAnsi="Arial"/>
          <w:b/>
          <w:bCs/>
          <w:color w:val="1F5F8B"/>
          <w:sz w:val="30"/>
          <w:szCs w:val="30"/>
        </w:rPr>
        <w:t xml:space="preserve">F. Profil Thabib Rabbani: Dokter yang Utuh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"Sebaik-baik manusia adalah yang paling bermanfaat bagi manusia lainnya." Hadits ini adalah motivasi tertinggi bagi setiap dokter: profesi kedokteran adalah salah satu jalan paling konkret untuk menjadi sebaik-baik manusia menurut sabda Nabi SAW.</w:t>
            </w:r>
          </w:p>
          <w:p>
            <w:pPr>
              <w:spacing w:after="50" w:before="20"/>
              <w:jc w:val="center"/>
            </w:pPr>
            <w:r>
              <w:rPr>
                <w:rFonts w:ascii="Arial" w:cs="Arial" w:eastAsia="Arial" w:hAnsi="Arial"/>
                <w:color w:val="8B6914"/>
                <w:sz w:val="18"/>
                <w:szCs w:val="18"/>
              </w:rPr>
              <w:t xml:space="preserve">— HR. Ahmad; dinilai hasan oleh al-Albani</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Istilah thabib rabbani merujuk pada dokter yang berorientasi kepada Allah — yang menggabungkan kompetensi keilmuan dan keterampilan klinis tinggi dengan akhlak mulia dan kesadaran ilahiah yang konsisten. Zinn (1993) mengidentifikasi tiga komponen empati klinis: perspective-taking, emotional attunement, dan empathic communication. Mercer &amp; Reynolds (2002) membuktikan bahwa dokter dengan skor empati klinis lebih tinggi menghasilkan kepuasan pasien lebih tinggi, kepatuhan terapi lebih baik, dan hasil klinis lebih baik — bahkan untuk kondisi kronis.</w:t>
      </w:r>
    </w:p>
    <w:p>
      <w:pPr>
        <w:spacing w:after="80" w:before="160"/>
        <w:jc w:val="both"/>
      </w:pPr>
      <w:r>
        <w:rPr>
          <w:rFonts w:ascii="Arial" w:cs="Arial" w:eastAsia="Arial" w:hAnsi="Arial"/>
          <w:b/>
          <w:bCs/>
          <w:color w:val="1A3A5C"/>
          <w:sz w:val="22"/>
          <w:szCs w:val="22"/>
        </w:rPr>
        <w:t xml:space="preserve">Mindful Practice dan Muraqabah</w:t>
      </w:r>
    </w:p>
    <w:p>
      <w:pPr>
        <w:spacing w:after="140" w:before="100" w:line="380" w:lineRule="auto"/>
        <w:jc w:val="both"/>
      </w:pPr>
      <w:r>
        <w:rPr>
          <w:rFonts w:ascii="Arial" w:cs="Arial" w:eastAsia="Arial" w:hAnsi="Arial"/>
          <w:color w:val="1C2833"/>
          <w:sz w:val="22"/>
          <w:szCs w:val="22"/>
        </w:rPr>
        <w:t xml:space="preserve">Epstein (1999) mengembangkan konsep mindful practice: kehadiran penuh dalam setiap interaksi klinis, dengan kesadaran terhadap emosi dan asumsi diri sendiri. Konsep ini memiliki padanan sangat kaya dalam Islam: muraqabah — kesadaran konstan bahwa Allah senantiasa mengawasi setiap tindakan dan niat kita. Seorang dokter yang menginternalisasi muraqabah termotivasi hadir penuh bukan karena ada supervisor yang mengawasi, melainkan karena kesadaran bahwa Allah melihat — standar kehadiran yang paling tinggi dan paling konsisten.</w:t>
      </w:r>
    </w:p>
    <w:p>
      <w:pPr>
        <w:spacing w:after="80" w:before="160"/>
        <w:jc w:val="both"/>
      </w:pPr>
      <w:r>
        <w:rPr>
          <w:rFonts w:ascii="Arial" w:cs="Arial" w:eastAsia="Arial" w:hAnsi="Arial"/>
          <w:b/>
          <w:bCs/>
          <w:color w:val="1A3A5C"/>
          <w:sz w:val="22"/>
          <w:szCs w:val="22"/>
        </w:rPr>
        <w:t xml:space="preserve">Integritas sebagai Karakter, Bukan Peraturan</w:t>
      </w:r>
    </w:p>
    <w:p>
      <w:pPr>
        <w:spacing w:after="140" w:before="100" w:line="380" w:lineRule="auto"/>
        <w:jc w:val="both"/>
      </w:pPr>
      <w:r>
        <w:rPr>
          <w:rFonts w:ascii="Arial" w:cs="Arial" w:eastAsia="Arial" w:hAnsi="Arial"/>
          <w:color w:val="1C2833"/>
          <w:sz w:val="22"/>
          <w:szCs w:val="22"/>
        </w:rPr>
        <w:t xml:space="preserve">Pellegrino &amp; Thomasma (1993) mendefinisikan integritas sebagai konsistensi antara nilai-nilai yang diyakini dan tindakan yang dilakukan — bahkan ketika tidak ada yang mengawasi. Pembentukan karakter semacam ini tidak dapat dicapai hanya melalui perkuliahan etika. Ia membutuhkan refleksi berkelanjutan, pengalaman klinis yang dipandu mentor yang berintegritas, dan kehidupan spiritual yang memberikan motivasi melampaui pengawasan manusia.</w:t>
      </w:r>
    </w:p>
    <w:p>
      <w:pPr>
        <w:spacing w:after="100" w:before="0"/>
      </w:pPr>
      <w:r>
        <w:t xml:space="preserve"/>
      </w:r>
    </w:p>
    <w:p>
      <w:pPr>
        <w:spacing w:after="80" w:before="160"/>
        <w:jc w:val="both"/>
      </w:pPr>
      <w:r>
        <w:rPr>
          <w:rFonts w:ascii="Arial" w:cs="Arial" w:eastAsia="Arial" w:hAnsi="Arial"/>
          <w:b/>
          <w:bCs/>
          <w:color w:val="1A3A5C"/>
          <w:sz w:val="22"/>
          <w:szCs w:val="22"/>
        </w:rPr>
        <w:t xml:space="preserve">DAFTAR REFERENSI BAB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C3C7" w:sz="6"/>
              <w:left w:val="single" w:color="BDC3C7" w:sz="6"/>
              <w:bottom w:val="single" w:color="BDC3C7" w:sz="6"/>
              <w:right w:val="single" w:color="BDC3C7" w:sz="6"/>
            </w:tcBorders>
            <w:shd w:fill="F8F9FA" w:val="clear"/>
            <w:tcMar>
              <w:top w:type="dxa" w:w="180"/>
              <w:left w:type="dxa" w:w="240"/>
              <w:bottom w:type="dxa" w:w="180"/>
              <w:right w:type="dxa" w:w="240"/>
            </w:tcMar>
          </w:tcPr>
          <w:p>
            <w:pPr>
              <w:spacing w:after="50" w:before="50"/>
              <w:ind w:left="500" w:hanging="500"/>
            </w:pPr>
            <w:r>
              <w:rPr>
                <w:rFonts w:ascii="Arial" w:cs="Arial" w:eastAsia="Arial" w:hAnsi="Arial"/>
                <w:color w:val="1C2833"/>
                <w:sz w:val="18"/>
                <w:szCs w:val="18"/>
              </w:rPr>
              <w:t xml:space="preserve">1. Birden, H., Glass, N., Wilson, I., Harrison, M., Usherwood, T., &amp; Nass, D. (2013). Teaching professionalism in medical education: A BEME systematic review. Medical Teacher, 35(7), e1252-e1266. https://doi.org/10.3109/0142159X.2013.789132</w:t>
            </w:r>
          </w:p>
          <w:p>
            <w:pPr>
              <w:spacing w:after="50" w:before="50"/>
              <w:ind w:left="500" w:hanging="500"/>
            </w:pPr>
            <w:r>
              <w:rPr>
                <w:rFonts w:ascii="Arial" w:cs="Arial" w:eastAsia="Arial" w:hAnsi="Arial"/>
                <w:color w:val="1C2833"/>
                <w:sz w:val="18"/>
                <w:szCs w:val="18"/>
              </w:rPr>
              <w:t xml:space="preserve">2. Buber, M. (1923/1970). I and Thou (W. Kaufmann, Trans.). Charles Scribner's Sons.</w:t>
            </w:r>
          </w:p>
          <w:p>
            <w:pPr>
              <w:spacing w:after="50" w:before="50"/>
              <w:ind w:left="500" w:hanging="500"/>
            </w:pPr>
            <w:r>
              <w:rPr>
                <w:rFonts w:ascii="Arial" w:cs="Arial" w:eastAsia="Arial" w:hAnsi="Arial"/>
                <w:color w:val="1C2833"/>
                <w:sz w:val="18"/>
                <w:szCs w:val="18"/>
              </w:rPr>
              <w:t xml:space="preserve">3. Charon, R. (2001). Narrative medicine: A model for empathy, reflection, profession, and trust. JAMA, 286(15), 1897-1902. https://doi.org/10.1001/jama.286.15.1897</w:t>
            </w:r>
          </w:p>
          <w:p>
            <w:pPr>
              <w:spacing w:after="50" w:before="50"/>
              <w:ind w:left="500" w:hanging="500"/>
            </w:pPr>
            <w:r>
              <w:rPr>
                <w:rFonts w:ascii="Arial" w:cs="Arial" w:eastAsia="Arial" w:hAnsi="Arial"/>
                <w:color w:val="1C2833"/>
                <w:sz w:val="18"/>
                <w:szCs w:val="18"/>
              </w:rPr>
              <w:t xml:space="preserve">4. Emanuel, E. J., &amp; Emanuel, L. L. (1992). Four models of the physician-patient relationship. JAMA, 267(16), 2221-2226. https://doi.org/10.1001/jama.1992.03480160079038</w:t>
            </w:r>
          </w:p>
          <w:p>
            <w:pPr>
              <w:spacing w:after="50" w:before="50"/>
              <w:ind w:left="500" w:hanging="500"/>
            </w:pPr>
            <w:r>
              <w:rPr>
                <w:rFonts w:ascii="Arial" w:cs="Arial" w:eastAsia="Arial" w:hAnsi="Arial"/>
                <w:color w:val="1C2833"/>
                <w:sz w:val="18"/>
                <w:szCs w:val="18"/>
              </w:rPr>
              <w:t xml:space="preserve">5. Engel, G. L. (1977). The need for a new medical model: A challenge for biomedicine. Science, 196(4286), 129-136. https://doi.org/10.1126/science.847460</w:t>
            </w:r>
          </w:p>
          <w:p>
            <w:pPr>
              <w:spacing w:after="50" w:before="50"/>
              <w:ind w:left="500" w:hanging="500"/>
            </w:pPr>
            <w:r>
              <w:rPr>
                <w:rFonts w:ascii="Arial" w:cs="Arial" w:eastAsia="Arial" w:hAnsi="Arial"/>
                <w:color w:val="1C2833"/>
                <w:sz w:val="18"/>
                <w:szCs w:val="18"/>
              </w:rPr>
              <w:t xml:space="preserve">6. Epstein, R. M. (1999). Mindful practice. JAMA, 282(9), 833-839. https://doi.org/10.1001/jama.282.9.833</w:t>
            </w:r>
          </w:p>
          <w:p>
            <w:pPr>
              <w:spacing w:after="50" w:before="50"/>
              <w:ind w:left="500" w:hanging="500"/>
            </w:pPr>
            <w:r>
              <w:rPr>
                <w:rFonts w:ascii="Arial" w:cs="Arial" w:eastAsia="Arial" w:hAnsi="Arial"/>
                <w:color w:val="1C2833"/>
                <w:sz w:val="18"/>
                <w:szCs w:val="18"/>
              </w:rPr>
              <w:t xml:space="preserve">7. Frankl, V. E. (1959). Man's Search for Meaning. Beacon Press.</w:t>
            </w:r>
          </w:p>
          <w:p>
            <w:pPr>
              <w:spacing w:after="50" w:before="50"/>
              <w:ind w:left="500" w:hanging="500"/>
            </w:pPr>
            <w:r>
              <w:rPr>
                <w:rFonts w:ascii="Arial" w:cs="Arial" w:eastAsia="Arial" w:hAnsi="Arial"/>
                <w:color w:val="1C2833"/>
                <w:sz w:val="18"/>
                <w:szCs w:val="18"/>
              </w:rPr>
              <w:t xml:space="preserve">8. Halpern, J. (2001). From Detached Concern to Empathy: Humanizing Medical Practice. Oxford University Press.</w:t>
            </w:r>
          </w:p>
          <w:p>
            <w:pPr>
              <w:spacing w:after="50" w:before="50"/>
              <w:ind w:left="500" w:hanging="500"/>
            </w:pPr>
            <w:r>
              <w:rPr>
                <w:rFonts w:ascii="Arial" w:cs="Arial" w:eastAsia="Arial" w:hAnsi="Arial"/>
                <w:color w:val="1C2833"/>
                <w:sz w:val="18"/>
                <w:szCs w:val="18"/>
              </w:rPr>
              <w:t xml:space="preserve">9. Ibn Sina (Avicenna). (1025/1930). Al-Qanun fi al-Tibb (The Canon of Medicine) (O. C. Gruner, Trans., partial). Luzac &amp; Co.</w:t>
            </w:r>
          </w:p>
          <w:p>
            <w:pPr>
              <w:spacing w:after="50" w:before="50"/>
              <w:ind w:left="500" w:hanging="500"/>
            </w:pPr>
            <w:r>
              <w:rPr>
                <w:rFonts w:ascii="Arial" w:cs="Arial" w:eastAsia="Arial" w:hAnsi="Arial"/>
                <w:color w:val="1C2833"/>
                <w:sz w:val="18"/>
                <w:szCs w:val="18"/>
              </w:rPr>
              <w:t xml:space="preserve">10. Dalfardi, B., Esnaashary, M. H., &amp; Yarmohammadi, H. (2014). Rabies in medieval Persian literature: The Canon of Avicenna (980-1037 AD). Infectious Diseases of Poverty, 3(7). https://doi.org/10.1186/2049-9957-3-7</w:t>
            </w:r>
          </w:p>
          <w:p>
            <w:pPr>
              <w:spacing w:after="50" w:before="50"/>
              <w:ind w:left="500" w:hanging="500"/>
            </w:pPr>
            <w:r>
              <w:rPr>
                <w:rFonts w:ascii="Arial" w:cs="Arial" w:eastAsia="Arial" w:hAnsi="Arial"/>
                <w:color w:val="1C2833"/>
                <w:sz w:val="18"/>
                <w:szCs w:val="18"/>
              </w:rPr>
              <w:t xml:space="preserve">11. Al-Razi, A. B. M. (t.t./1925). Kitab al-Hawi fi al-Tibb. Osmania Oriental Publications Bureau.</w:t>
            </w:r>
          </w:p>
          <w:p>
            <w:pPr>
              <w:spacing w:after="50" w:before="50"/>
              <w:ind w:left="500" w:hanging="500"/>
            </w:pPr>
            <w:r>
              <w:rPr>
                <w:rFonts w:ascii="Arial" w:cs="Arial" w:eastAsia="Arial" w:hAnsi="Arial"/>
                <w:color w:val="1C2833"/>
                <w:sz w:val="18"/>
                <w:szCs w:val="18"/>
              </w:rPr>
              <w:t xml:space="preserve">12. Ibn al-Nafis, A. (1242). Sharh Tashrih al-Qanun. [Penemuan sirkulasi paru, tiga abad sebelum William Harvey].</w:t>
            </w:r>
          </w:p>
          <w:p>
            <w:pPr>
              <w:spacing w:after="50" w:before="50"/>
              <w:ind w:left="500" w:hanging="500"/>
            </w:pPr>
            <w:r>
              <w:rPr>
                <w:rFonts w:ascii="Arial" w:cs="Arial" w:eastAsia="Arial" w:hAnsi="Arial"/>
                <w:color w:val="1C2833"/>
                <w:sz w:val="18"/>
                <w:szCs w:val="18"/>
              </w:rPr>
              <w:t xml:space="preserve">13. Al-Zuhaili, W. (1986). Ushul al-Fiqh al-Islami (Jilid II). Dar al-Fikr, Damaskus.</w:t>
            </w:r>
          </w:p>
          <w:p>
            <w:pPr>
              <w:spacing w:after="50" w:before="50"/>
              <w:ind w:left="500" w:hanging="500"/>
            </w:pPr>
            <w:r>
              <w:rPr>
                <w:rFonts w:ascii="Arial" w:cs="Arial" w:eastAsia="Arial" w:hAnsi="Arial"/>
                <w:color w:val="1C2833"/>
                <w:sz w:val="18"/>
                <w:szCs w:val="18"/>
              </w:rPr>
              <w:t xml:space="preserve">14. Al-Syatibi, A. I. (790 H/1997). Al-Muwafaqat fi Ushul al-Syari'ah (Jilid II) (A. Daraz, Tahqiq). Dar Ibn 'Affan.</w:t>
            </w:r>
          </w:p>
          <w:p>
            <w:pPr>
              <w:spacing w:after="50" w:before="50"/>
              <w:ind w:left="500" w:hanging="500"/>
            </w:pPr>
            <w:r>
              <w:rPr>
                <w:rFonts w:ascii="Arial" w:cs="Arial" w:eastAsia="Arial" w:hAnsi="Arial"/>
                <w:color w:val="1C2833"/>
                <w:sz w:val="18"/>
                <w:szCs w:val="18"/>
              </w:rPr>
              <w:t xml:space="preserve">15. Larson, E. B., &amp; Yao, X. (2005). Clinical empathy as emotional labor in the patient-physician relationship. JAMA, 293(9), 1100-1106. https://doi.org/10.1001/jama.293.9.1100</w:t>
            </w:r>
          </w:p>
          <w:p>
            <w:pPr>
              <w:spacing w:after="50" w:before="50"/>
              <w:ind w:left="500" w:hanging="500"/>
            </w:pPr>
            <w:r>
              <w:rPr>
                <w:rFonts w:ascii="Arial" w:cs="Arial" w:eastAsia="Arial" w:hAnsi="Arial"/>
                <w:color w:val="1C2833"/>
                <w:sz w:val="18"/>
                <w:szCs w:val="18"/>
              </w:rPr>
              <w:t xml:space="preserve">16. Mercer, S. W., &amp; Reynolds, W. J. (2002). Empathy and quality of care. British Journal of General Practice, 52(Suppl), S9-S12. PMID: 12389763</w:t>
            </w:r>
          </w:p>
          <w:p>
            <w:pPr>
              <w:spacing w:after="50" w:before="50"/>
              <w:ind w:left="500" w:hanging="500"/>
            </w:pPr>
            <w:r>
              <w:rPr>
                <w:rFonts w:ascii="Arial" w:cs="Arial" w:eastAsia="Arial" w:hAnsi="Arial"/>
                <w:color w:val="1C2833"/>
                <w:sz w:val="18"/>
                <w:szCs w:val="18"/>
              </w:rPr>
              <w:t xml:space="preserve">17. Merleau-Ponty, M. (1962). Phenomenology of Perception (C. Smith, Trans.). Routledge.</w:t>
            </w:r>
          </w:p>
          <w:p>
            <w:pPr>
              <w:spacing w:after="50" w:before="50"/>
              <w:ind w:left="500" w:hanging="500"/>
            </w:pPr>
            <w:r>
              <w:rPr>
                <w:rFonts w:ascii="Arial" w:cs="Arial" w:eastAsia="Arial" w:hAnsi="Arial"/>
                <w:color w:val="1C2833"/>
                <w:sz w:val="18"/>
                <w:szCs w:val="18"/>
              </w:rPr>
              <w:t xml:space="preserve">18. Nussbaum, M. C. (1997). Cultivating Humanity: A Classical Defense of Reform in Liberal Education. Harvard University Press.</w:t>
            </w:r>
          </w:p>
          <w:p>
            <w:pPr>
              <w:spacing w:after="50" w:before="50"/>
              <w:ind w:left="500" w:hanging="500"/>
            </w:pPr>
            <w:r>
              <w:rPr>
                <w:rFonts w:ascii="Arial" w:cs="Arial" w:eastAsia="Arial" w:hAnsi="Arial"/>
                <w:color w:val="1C2833"/>
                <w:sz w:val="18"/>
                <w:szCs w:val="18"/>
              </w:rPr>
              <w:t xml:space="preserve">19. Pellegrino, E. D., &amp; Thomasma, D. C. (1993). The Virtues in Medical Practice. Oxford University Press.</w:t>
            </w:r>
          </w:p>
          <w:p>
            <w:pPr>
              <w:spacing w:after="50" w:before="50"/>
              <w:ind w:left="500" w:hanging="500"/>
            </w:pPr>
            <w:r>
              <w:rPr>
                <w:rFonts w:ascii="Arial" w:cs="Arial" w:eastAsia="Arial" w:hAnsi="Arial"/>
                <w:color w:val="1C2833"/>
                <w:sz w:val="18"/>
                <w:szCs w:val="18"/>
              </w:rPr>
              <w:t xml:space="preserve">20. Kementerian Kesehatan Republik Indonesia. (2018). Laporan Nasional Riskesdas 2018. Badan Penelitian dan Pengembangan Kesehatan. https://repository.badankebijakan.kemkes.go.id/id/eprint/3514/</w:t>
            </w:r>
          </w:p>
          <w:p>
            <w:pPr>
              <w:spacing w:after="50" w:before="50"/>
              <w:ind w:left="500" w:hanging="500"/>
            </w:pPr>
            <w:r>
              <w:rPr>
                <w:rFonts w:ascii="Arial" w:cs="Arial" w:eastAsia="Arial" w:hAnsi="Arial"/>
                <w:color w:val="1C2833"/>
                <w:sz w:val="18"/>
                <w:szCs w:val="18"/>
              </w:rPr>
              <w:t xml:space="preserve">21. Veatch, R. M., &amp; Fry, S. T. (1987). Case Studies in Nursing Ethics. Jones &amp; Bartlett.</w:t>
            </w:r>
          </w:p>
          <w:p>
            <w:pPr>
              <w:spacing w:after="50" w:before="50"/>
              <w:ind w:left="500" w:hanging="500"/>
            </w:pPr>
            <w:r>
              <w:rPr>
                <w:rFonts w:ascii="Arial" w:cs="Arial" w:eastAsia="Arial" w:hAnsi="Arial"/>
                <w:color w:val="1C2833"/>
                <w:sz w:val="18"/>
                <w:szCs w:val="18"/>
              </w:rPr>
              <w:t xml:space="preserve">22. World Federation for Medical Education. (2015). Basic Medical Education: WFME Global Standards for Quality Improvement (2015 Revision). WFME. https://wfme.org/standards/</w:t>
            </w:r>
          </w:p>
          <w:p>
            <w:pPr>
              <w:spacing w:after="50" w:before="50"/>
              <w:ind w:left="500" w:hanging="500"/>
            </w:pPr>
            <w:r>
              <w:rPr>
                <w:rFonts w:ascii="Arial" w:cs="Arial" w:eastAsia="Arial" w:hAnsi="Arial"/>
                <w:color w:val="1C2833"/>
                <w:sz w:val="18"/>
                <w:szCs w:val="18"/>
              </w:rPr>
              <w:t xml:space="preserve">23. Whitfield, M. (2010). The technocentric drift in modern medicine: Philosophical and educational implications. [Sumber tidak dapat diverifikasi di database terstandar per Juli 2026; konsep technocentric drift dikutip berdasarkan referensi sekunder].</w:t>
            </w:r>
          </w:p>
          <w:p>
            <w:pPr>
              <w:spacing w:after="50" w:before="50"/>
              <w:ind w:left="500" w:hanging="500"/>
            </w:pPr>
            <w:r>
              <w:rPr>
                <w:rFonts w:ascii="Arial" w:cs="Arial" w:eastAsia="Arial" w:hAnsi="Arial"/>
                <w:color w:val="1C2833"/>
                <w:sz w:val="18"/>
                <w:szCs w:val="18"/>
              </w:rPr>
              <w:t xml:space="preserve">24. World Health Organization. (2021). World Health Statistics 2021: Monitoring Health for the SDGs. WHO. https://www.who.int/publications/i/item/9789240027053</w:t>
            </w:r>
          </w:p>
          <w:p>
            <w:pPr>
              <w:spacing w:after="50" w:before="50"/>
              <w:ind w:left="500" w:hanging="500"/>
            </w:pPr>
            <w:r>
              <w:rPr>
                <w:rFonts w:ascii="Arial" w:cs="Arial" w:eastAsia="Arial" w:hAnsi="Arial"/>
                <w:color w:val="1C2833"/>
                <w:sz w:val="18"/>
                <w:szCs w:val="18"/>
              </w:rPr>
              <w:t xml:space="preserve">25. Zinn, W. (1993). The empathic physician. Archives of Internal Medicine, 153(3), 306-312. https://doi.org/10.1001/archinte.1993.00410030040005</w:t>
            </w:r>
          </w:p>
        </w:tc>
      </w:tr>
    </w:tbl>
    <w:p>
      <w:r>
        <w:br w:type="page"/>
      </w:r>
    </w:p>
    <w:p>
      <w:pPr>
        <w:pStyle w:val="Heading1"/>
        <w:spacing w:after="220" w:before="440"/>
      </w:pPr>
      <w:r>
        <w:rPr>
          <w:rFonts w:ascii="Arial" w:cs="Arial" w:eastAsia="Arial" w:hAnsi="Arial"/>
          <w:b/>
          <w:bCs/>
          <w:color w:val="1A3A5C"/>
          <w:sz w:val="40"/>
          <w:szCs w:val="40"/>
        </w:rPr>
        <w:t xml:space="preserve">BAB 2: FONDASI ONTOLOGI, EPISTEMOLOGI, DAN AKSIOLOGI
DALAM PRAKTIK KLINIS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A3A5C" w:sz="12"/>
              <w:left w:val="single" w:color="1A3A5C" w:sz="12"/>
              <w:bottom w:val="single" w:color="1A3A5C" w:sz="12"/>
              <w:right w:val="single" w:color="1A3A5C" w:sz="12"/>
            </w:tcBorders>
            <w:shd w:fill="F4F6F7" w:val="clear"/>
            <w:tcMar>
              <w:top w:type="dxa" w:w="180"/>
              <w:left w:type="dxa" w:w="260"/>
              <w:bottom w:type="dxa" w:w="180"/>
              <w:right w:type="dxa" w:w="260"/>
            </w:tcMar>
          </w:tcPr>
          <w:p>
            <w:pPr>
              <w:spacing w:after="120" w:before="0"/>
              <w:jc w:val="center"/>
            </w:pPr>
            <w:r>
              <w:rPr>
                <w:rFonts w:ascii="Arial" w:cs="Arial" w:eastAsia="Arial" w:hAnsi="Arial"/>
                <w:b/>
                <w:bCs/>
                <w:color w:val="1A3A5C"/>
                <w:sz w:val="24"/>
                <w:szCs w:val="24"/>
              </w:rPr>
              <w:t xml:space="preserve">TUJUAN PEMBELAJARAN</w:t>
            </w:r>
          </w:p>
          <w:p>
            <w:pPr>
              <w:spacing w:after="40" w:before="60"/>
            </w:pPr>
            <w:r>
              <w:rPr>
                <w:rFonts w:ascii="Arial" w:cs="Arial" w:eastAsia="Arial" w:hAnsi="Arial"/>
                <w:b/>
                <w:bCs/>
                <w:color w:val="0E7C7B"/>
                <w:sz w:val="20"/>
                <w:szCs w:val="20"/>
              </w:rPr>
              <w:t xml:space="preserve">🎯 Kognitif:</w:t>
            </w:r>
          </w:p>
          <w:p>
            <w:pPr>
              <w:spacing w:after="80" w:before="20"/>
            </w:pPr>
            <w:r>
              <w:rPr>
                <w:rFonts w:ascii="Arial" w:cs="Arial" w:eastAsia="Arial" w:hAnsi="Arial"/>
                <w:color w:val="1C2833"/>
                <w:sz w:val="20"/>
                <w:szCs w:val="20"/>
              </w:rPr>
              <w:t xml:space="preserve">Mahasiswa mampu menjelaskan tiga pilar filsafat ilmu dan relevansinya dengan konsep khalifah, amanah, dan maqashid syariah; menganalisis perbedaan aliran epistemologis dan implikasinya bagi EBM; serta mendeskripsikan bagaimana nilai-nilai aksiologis membentuk keputusan klinis.</w:t>
            </w:r>
          </w:p>
          <w:p>
            <w:pPr>
              <w:spacing w:after="40" w:before="60"/>
            </w:pPr>
            <w:r>
              <w:rPr>
                <w:rFonts w:ascii="Arial" w:cs="Arial" w:eastAsia="Arial" w:hAnsi="Arial"/>
                <w:b/>
                <w:bCs/>
                <w:color w:val="0E7C7B"/>
                <w:sz w:val="20"/>
                <w:szCs w:val="20"/>
              </w:rPr>
              <w:t xml:space="preserve">🔧 Psikomotor:</w:t>
            </w:r>
          </w:p>
          <w:p>
            <w:pPr>
              <w:spacing w:after="80" w:before="20"/>
            </w:pPr>
            <w:r>
              <w:rPr>
                <w:rFonts w:ascii="Arial" w:cs="Arial" w:eastAsia="Arial" w:hAnsi="Arial"/>
                <w:color w:val="1C2833"/>
                <w:sz w:val="20"/>
                <w:szCs w:val="20"/>
              </w:rPr>
              <w:t xml:space="preserve">Mahasiswa mampu menerapkan kerangka berpikir filosofis dalam menganalisis kasus klinis yang mengandung dilema nilai; menyusun argumentasi berbasis EBM yang juga mempertimbangkan maqashid syariah; serta mempraktikkan pengambilan keputusan klinis yang mengintegrasikan bukti, keahlian, dan nilai pasien.</w:t>
            </w:r>
          </w:p>
          <w:p>
            <w:pPr>
              <w:spacing w:after="40" w:before="60"/>
            </w:pPr>
            <w:r>
              <w:rPr>
                <w:rFonts w:ascii="Arial" w:cs="Arial" w:eastAsia="Arial" w:hAnsi="Arial"/>
                <w:b/>
                <w:bCs/>
                <w:color w:val="0E7C7B"/>
                <w:sz w:val="20"/>
                <w:szCs w:val="20"/>
              </w:rPr>
              <w:t xml:space="preserve">💡 Afektif:</w:t>
            </w:r>
          </w:p>
          <w:p>
            <w:pPr>
              <w:spacing w:after="40" w:before="20"/>
            </w:pPr>
            <w:r>
              <w:rPr>
                <w:rFonts w:ascii="Arial" w:cs="Arial" w:eastAsia="Arial" w:hAnsi="Arial"/>
                <w:color w:val="1C2833"/>
                <w:sz w:val="20"/>
                <w:szCs w:val="20"/>
              </w:rPr>
              <w:t xml:space="preserve">Mahasiswa mengembangkan kerendahan hati intelektual (tawadhu ilmiah) dalam mengakui keterbatasan pengetahuan klinis; menunjukkan komitmen terhadap kejujuran ilmiah sebagai bagian dari shidq; dan membangun penghargaan terhadap pluralitas perspektif budaya.</w:t>
            </w:r>
          </w:p>
        </w:tc>
      </w:tr>
    </w:tbl>
    <w:p>
      <w:pPr>
        <w:spacing w:after="100" w:before="0"/>
      </w:pPr>
      <w:r>
        <w:t xml:space="preserve"/>
      </w:r>
    </w:p>
    <w:p>
      <w:pPr>
        <w:pStyle w:val="Heading2"/>
        <w:spacing w:after="140" w:before="300"/>
      </w:pPr>
      <w:r>
        <w:rPr>
          <w:rFonts w:ascii="Arial" w:cs="Arial" w:eastAsia="Arial" w:hAnsi="Arial"/>
          <w:b/>
          <w:bCs/>
          <w:color w:val="1F5F8B"/>
          <w:sz w:val="30"/>
          <w:szCs w:val="30"/>
        </w:rPr>
        <w:t xml:space="preserve">A. Ontologi: Manusia sebagai Khalifah dan Pasien sebagai Amanah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"Sesungguhnya Aku hendak menjadikan seorang khalifah di muka bumi." (QS. Al-Baqarah: 30). Konsep khalifah memberikan landasan ontologis bagi posisi manusia — setiap pasien adalah pemegang amanah kehidupan dari Allah yang wajib dihormati dan dirawat dengan sepenuh hati.</w:t>
            </w:r>
          </w:p>
          <w:p>
            <w:pPr>
              <w:spacing w:after="50" w:before="20"/>
              <w:jc w:val="center"/>
            </w:pPr>
            <w:r>
              <w:rPr>
                <w:rFonts w:ascii="Arial" w:cs="Arial" w:eastAsia="Arial" w:hAnsi="Arial"/>
                <w:color w:val="8B6914"/>
                <w:sz w:val="18"/>
                <w:szCs w:val="18"/>
              </w:rPr>
              <w:t xml:space="preserve">— QS. Al-Baqarah (2): 30</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Ontologi adalah cabang filsafat yang mempelajari hakikat keberadaan. Pertanyaan ontologis paling fundamental dalam kedokteran adalah: apakah hakikat pasien yang kita hadapi? Apakah ia sebuah sistem biologis yang mengalami disfungsi? Ataukah ia seorang manusia yang sedang mengalami penderitaan dalam konteks kehidupan, relasi, dan makna yang kompleks? Jawaban atas pertanyaan ini menentukan secara fundamental bagaimana dokter akan berinteraksi dengan pasiennya.</w:t>
      </w:r>
    </w:p>
    <w:p>
      <w:pPr>
        <w:spacing w:after="80" w:before="160"/>
        <w:jc w:val="both"/>
      </w:pPr>
      <w:r>
        <w:rPr>
          <w:rFonts w:ascii="Arial" w:cs="Arial" w:eastAsia="Arial" w:hAnsi="Arial"/>
          <w:b/>
          <w:bCs/>
          <w:color w:val="1A3A5C"/>
          <w:sz w:val="22"/>
          <w:szCs w:val="22"/>
        </w:rPr>
        <w:t xml:space="preserve">Reduksionisme Biomedis dan Batasannya</w:t>
      </w:r>
    </w:p>
    <w:p>
      <w:pPr>
        <w:spacing w:after="140" w:before="100" w:line="380" w:lineRule="auto"/>
        <w:jc w:val="both"/>
      </w:pPr>
      <w:r>
        <w:rPr>
          <w:rFonts w:ascii="Arial" w:cs="Arial" w:eastAsia="Arial" w:hAnsi="Arial"/>
          <w:color w:val="1C2833"/>
          <w:sz w:val="22"/>
          <w:szCs w:val="22"/>
        </w:rPr>
        <w:t xml:space="preserve">Model biomedis tradisional beroperasi di atas asumsi reduksionis: penyakit adalah disfungsi mekanik dalam sistem biologis. Asumsi ini sangat powerful dalam konteks tertentu, tetapi memiliki keterbatasan nyata. Pertimbangkan: seorang pasien diabetes tipe 2 dengan HbA1c 10,5% meskipun sudah mendapat metformin dosis maksimal selama enam bulan. Pendekatan reduksionis langsung menambah atau mengganti obat. Namun pendekatan yang komprehensif menemukan bahwa pasien ini baru kehilangan pekerjaan tiga bulan lalu, mengalami depresi yang belum terdiagnosis, dan makan tidak teratur karena keterbatasan finansial. Dua pendekatan ini menghasilkan rencana perawatan yang sangat berbeda, dan yang kedua jauh lebih mungkin menghasilkan perbaikan klinis bermakna.</w:t>
      </w:r>
    </w:p>
    <w:p>
      <w:pPr>
        <w:spacing w:after="80" w:before="160"/>
        <w:jc w:val="both"/>
      </w:pPr>
      <w:r>
        <w:rPr>
          <w:rFonts w:ascii="Arial" w:cs="Arial" w:eastAsia="Arial" w:hAnsi="Arial"/>
          <w:b/>
          <w:bCs/>
          <w:color w:val="1A3A5C"/>
          <w:sz w:val="22"/>
          <w:szCs w:val="22"/>
        </w:rPr>
        <w:t xml:space="preserve">Model Biopsikososial dan Dimensi Spiritual</w:t>
      </w:r>
    </w:p>
    <w:p>
      <w:pPr>
        <w:spacing w:after="140" w:before="100" w:line="380" w:lineRule="auto"/>
        <w:jc w:val="both"/>
      </w:pPr>
      <w:r>
        <w:rPr>
          <w:rFonts w:ascii="Arial" w:cs="Arial" w:eastAsia="Arial" w:hAnsi="Arial"/>
          <w:color w:val="1C2833"/>
          <w:sz w:val="22"/>
          <w:szCs w:val="22"/>
        </w:rPr>
        <w:t xml:space="preserve">George Engel (1977) mengajukan model biopsikososial sebagai alternatif terhadap reduksionisme: mengintegrasikan dimensi biologis, psikologis, dan sosial secara setara. Dalam perspektif Islam, model ini perlu diperluas dengan dimensi ruhiyah (spiritual) yang fundamental. Manusia dalam pandangan Islam adalah makhluk relasional yang identitas, kesejahteraan, dan makna hidupnya dibentuk oleh relasi dengan Allah, sesama manusia, dan alam semesta. Dokter yang memahami ontologi ini akan merawat bukan hanya penyakit, tetapi potensi pemulihan manusia seutuhnya.</w:t>
      </w:r>
    </w:p>
    <w:p>
      <w:pPr>
        <w:pStyle w:val="Heading2"/>
        <w:spacing w:after="140" w:before="300"/>
      </w:pPr>
      <w:r>
        <w:rPr>
          <w:rFonts w:ascii="Arial" w:cs="Arial" w:eastAsia="Arial" w:hAnsi="Arial"/>
          <w:b/>
          <w:bCs/>
          <w:color w:val="1F5F8B"/>
          <w:sz w:val="30"/>
          <w:szCs w:val="30"/>
        </w:rPr>
        <w:t xml:space="preserve">B. Epistemologi: EBM, Ketidakpastian Klinis, dan Adab Thalabul 'Ilmi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katakanlah: Ya Tuhanku, tambahkanlah kepadaku ilmu pengetahuan." (QS. Thaha: 114). Doa yang Allah ajarkan kepada Nabi-Nya ini menegaskan bahwa pencarian ilmu adalah proses yang tidak pernah selesai — fondasi epistemologis Islam yang selaras dengan semangat continuous learning dalam EBM.</w:t>
            </w:r>
          </w:p>
          <w:p>
            <w:pPr>
              <w:spacing w:after="50" w:before="20"/>
              <w:jc w:val="center"/>
            </w:pPr>
            <w:r>
              <w:rPr>
                <w:rFonts w:ascii="Arial" w:cs="Arial" w:eastAsia="Arial" w:hAnsi="Arial"/>
                <w:color w:val="8B6914"/>
                <w:sz w:val="18"/>
                <w:szCs w:val="18"/>
              </w:rPr>
              <w:t xml:space="preserve">— QS. Thaha (20): 114</w:t>
            </w:r>
          </w:p>
        </w:tc>
      </w:tr>
    </w:tbl>
    <w:p>
      <w:pPr>
        <w:spacing w:after="100" w:before="0"/>
      </w:pPr>
      <w:r>
        <w:t xml:space="preserve"/>
      </w:r>
    </w:p>
    <w:p>
      <w:pPr>
        <w:spacing w:after="80" w:before="160"/>
        <w:jc w:val="both"/>
      </w:pPr>
      <w:r>
        <w:rPr>
          <w:rFonts w:ascii="Arial" w:cs="Arial" w:eastAsia="Arial" w:hAnsi="Arial"/>
          <w:b/>
          <w:bCs/>
          <w:color w:val="1A3A5C"/>
          <w:sz w:val="22"/>
          <w:szCs w:val="22"/>
        </w:rPr>
        <w:t xml:space="preserve">Evidence-Based Medicine: Epistemologi Ilmiah dalam Klinik</w:t>
      </w:r>
    </w:p>
    <w:p>
      <w:pPr>
        <w:spacing w:after="140" w:before="100" w:line="380" w:lineRule="auto"/>
        <w:jc w:val="both"/>
      </w:pPr>
      <w:r>
        <w:rPr>
          <w:rFonts w:ascii="Arial" w:cs="Arial" w:eastAsia="Arial" w:hAnsi="Arial"/>
          <w:color w:val="1C2833"/>
          <w:sz w:val="22"/>
          <w:szCs w:val="22"/>
        </w:rPr>
        <w:t xml:space="preserve">Evidence-Based Medicine (EBM) yang dikembangkan Sackett et al. (1996) merupakan manifestasi epistemologi ilmiah dalam praktik klinis: integrasi bukti penelitian terbaik, keahlian klinis dokter, dan nilai serta preferensi pasien. Hierarki bukti EBM — dari systematic reviews di puncak hingga expert opinion di dasar — mencerminkan tingkat kepercayaan epistemologis yang berbeda. Namun EBM bukan sekadar 'ikuti panduan tertinggi'; ia mensyaratkan penilaian kritis tentang bukti mana yang paling relevan untuk pertanyaan klinis spesifik yang dihadapi.</w:t>
      </w:r>
    </w:p>
    <w:p>
      <w:pPr>
        <w:spacing w:after="80" w:before="160"/>
        <w:jc w:val="both"/>
      </w:pPr>
      <w:r>
        <w:rPr>
          <w:rFonts w:ascii="Arial" w:cs="Arial" w:eastAsia="Arial" w:hAnsi="Arial"/>
          <w:b/>
          <w:bCs/>
          <w:color w:val="1A3A5C"/>
          <w:sz w:val="22"/>
          <w:szCs w:val="22"/>
        </w:rPr>
        <w:t xml:space="preserve">Ketidakpastian Klinis: Kondisi Normal yang Harus Dikomunikasikan Jujur</w:t>
      </w:r>
    </w:p>
    <w:p>
      <w:pPr>
        <w:spacing w:after="140" w:before="100" w:line="380" w:lineRule="auto"/>
        <w:jc w:val="both"/>
      </w:pPr>
      <w:r>
        <w:rPr>
          <w:rFonts w:ascii="Arial" w:cs="Arial" w:eastAsia="Arial" w:hAnsi="Arial"/>
          <w:color w:val="1C2833"/>
          <w:sz w:val="22"/>
          <w:szCs w:val="22"/>
        </w:rPr>
        <w:t xml:space="preserve">Ghosh (2004) dalam Mayo Clinic Proceedings menegaskan bahwa ketidakpastian klinis adalah kondisi normal, bukan pengecualian. Dalam tradisi keilmuan Islam, kerendahan hati intelektual ini sangat dijunjung tinggi. Para ulama besar tidak segan mengucapkan 'la adri' (saya tidak tahu) ketika ditanya hal di luar kapasitas keilmuan mereka. Dokter yang epistemologis dewasa tidak menyembunyikan ketidakpastian dari pasien untuk menjaga otoritas profesionalnya, melainkan mengkomunikasikannya secara transparan.</w:t>
      </w:r>
    </w:p>
    <w:p>
      <w:pPr>
        <w:spacing w:after="80" w:before="160"/>
        <w:jc w:val="both"/>
      </w:pPr>
      <w:r>
        <w:rPr>
          <w:rFonts w:ascii="Arial" w:cs="Arial" w:eastAsia="Arial" w:hAnsi="Arial"/>
          <w:b/>
          <w:bCs/>
          <w:color w:val="1A3A5C"/>
          <w:sz w:val="22"/>
          <w:szCs w:val="22"/>
        </w:rPr>
        <w:t xml:space="preserve">Pengetahuan Tacit dan Kecerdasan Buatan</w:t>
      </w:r>
    </w:p>
    <w:p>
      <w:pPr>
        <w:spacing w:after="140" w:before="100" w:line="380" w:lineRule="auto"/>
        <w:jc w:val="both"/>
      </w:pPr>
      <w:r>
        <w:rPr>
          <w:rFonts w:ascii="Arial" w:cs="Arial" w:eastAsia="Arial" w:hAnsi="Arial"/>
          <w:color w:val="1C2833"/>
          <w:sz w:val="22"/>
          <w:szCs w:val="22"/>
        </w:rPr>
        <w:t xml:space="preserve">Michael Polanyi (1966) membedakan explicit knowledge dan tacit knowledge — pengetahuan yang diwujudkan dalam tindakan tetapi sulit diungkapkan secara verbal. Sebagian besar keahlian klinis bersifat tacit: cara mengenali 'tampilan sakit' yang mengindikasikan kegawatan, cara merasakan nuansa dalam anamnesis. Pengetahuan tacit berkembang melalui pengalaman klinis yang dipandu mentor kompeten dan refleksi berkelanjutan. Di era kecerdasan buatan (AI), epistemologi kedokteran perlu mengintegrasikan kecerdasan mesin untuk tugas analitis dengan kebijaksanaan manusia untuk aspek yang memerlukan pertimbangan nilai dan kemanusiaan.</w:t>
      </w:r>
    </w:p>
    <w:p>
      <w:pPr>
        <w:pStyle w:val="Heading2"/>
        <w:spacing w:after="140" w:before="300"/>
      </w:pPr>
      <w:r>
        <w:rPr>
          <w:rFonts w:ascii="Arial" w:cs="Arial" w:eastAsia="Arial" w:hAnsi="Arial"/>
          <w:b/>
          <w:bCs/>
          <w:color w:val="1F5F8B"/>
          <w:sz w:val="30"/>
          <w:szCs w:val="30"/>
        </w:rPr>
        <w:t xml:space="preserve">C. Aksiologi: Nilai-Nilai Maqashid Syariah dalam Keputusan Klinis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"Tidak boleh membahayakan diri sendiri dan tidak boleh membahayakan orang lain (la dharara wa la dhirar)." Kaidah fiqih fundamental ini adalah padanan non-maleficence dalam Islam, mendahului prinsip bioetika modern berabad-abad.</w:t>
            </w:r>
          </w:p>
          <w:p>
            <w:pPr>
              <w:spacing w:after="50" w:before="20"/>
              <w:jc w:val="center"/>
            </w:pPr>
            <w:r>
              <w:rPr>
                <w:rFonts w:ascii="Arial" w:cs="Arial" w:eastAsia="Arial" w:hAnsi="Arial"/>
                <w:color w:val="8B6914"/>
                <w:sz w:val="18"/>
                <w:szCs w:val="18"/>
              </w:rPr>
              <w:t xml:space="preserve">— HR. Ibn Majah No. 2341; disepakati ulama sebagai kaidah fiqih fundamental</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Aksiologi mempelajari nilai dan bagaimana nilai mengarahkan tindakan. Beauchamp &amp; Childress (2019) merumuskan empat prinsip bioetika yang kini menjadi standar global — dan keempat prinsip ini memiliki padanan yang kuat dalam kerangka fiqih Islam. Otonomi berpadanan dengan penghormatan Islam terhadap mukallaf (subjek hukum yang bertanggung jawab). Beneficence berpadanan dengan prinsip maslahah. Non-maleficence berpadanan langsung dengan kaidah fiqih la dharara wa la dhirar. Justice berpadanan dengan prinsip 'adl yang berulang kali ditekankan Al-Qur'an (QS. An-Nahl: 90).</w:t>
      </w:r>
    </w:p>
    <w:p>
      <w:pPr>
        <w:spacing w:after="140" w:before="100" w:line="380" w:lineRule="auto"/>
        <w:jc w:val="both"/>
      </w:pPr>
      <w:r>
        <w:rPr>
          <w:rFonts w:ascii="Arial" w:cs="Arial" w:eastAsia="Arial" w:hAnsi="Arial"/>
          <w:color w:val="1C2833"/>
          <w:sz w:val="22"/>
          <w:szCs w:val="22"/>
        </w:rPr>
        <w:t xml:space="preserve">Ketika nilai-nilai ini berkonflik — misalnya otonomi pasien yang menolak perawatan yang secara klinis bermanfaat — diperlukan phronesis: kebijaksanaan praktis yang Aristoteles identifikasi sebagai kebajikan sentral bagi para praktisi, yang dalam Islam berpadanan dengan hikmah sebagai karunia Allah (QS. Al-Baqarah: 269).</w:t>
      </w:r>
    </w:p>
    <w:p>
      <w:pPr>
        <w:spacing w:after="80" w:before="160"/>
        <w:jc w:val="both"/>
      </w:pPr>
      <w:r>
        <w:rPr>
          <w:rFonts w:ascii="Arial" w:cs="Arial" w:eastAsia="Arial" w:hAnsi="Arial"/>
          <w:b/>
          <w:bCs/>
          <w:color w:val="1A3A5C"/>
          <w:sz w:val="22"/>
          <w:szCs w:val="22"/>
        </w:rPr>
        <w:t xml:space="preserve">Aksiologi Budaya: Nilai-Nilai dalam Konteks Indonesia</w:t>
      </w:r>
    </w:p>
    <w:p>
      <w:pPr>
        <w:spacing w:after="140" w:before="100" w:line="380" w:lineRule="auto"/>
        <w:jc w:val="both"/>
      </w:pPr>
      <w:r>
        <w:rPr>
          <w:rFonts w:ascii="Arial" w:cs="Arial" w:eastAsia="Arial" w:hAnsi="Arial"/>
          <w:color w:val="1C2833"/>
          <w:sz w:val="22"/>
          <w:szCs w:val="22"/>
        </w:rPr>
        <w:t xml:space="preserve">Arthur Kleinman (1988) membedakan disease (kondisi patologis biomedis) dan illness (pengalaman subjektif menderita dalam konteks budaya). Indonesia memiliki lebih dari 1.300 suku bangsa dengan sistem nilai yang beragam. Dokter yang culturally competent (AAMC, 2005) memahami bagaimana pasien memaknai sakitnya dalam konteks budayanya — termasuk peran keluarga dalam pengambilan keputusan yang sangat dominan dalam budaya kolektivistik Indonesia.</w:t>
      </w:r>
    </w:p>
    <w:p>
      <w:pPr>
        <w:pStyle w:val="Heading2"/>
        <w:spacing w:after="140" w:before="300"/>
      </w:pPr>
      <w:r>
        <w:rPr>
          <w:rFonts w:ascii="Arial" w:cs="Arial" w:eastAsia="Arial" w:hAnsi="Arial"/>
          <w:b/>
          <w:bCs/>
          <w:color w:val="1F5F8B"/>
          <w:sz w:val="30"/>
          <w:szCs w:val="30"/>
        </w:rPr>
        <w:t xml:space="preserve">D. Filsafat Ilmu Kedokteran: Antara Sains, Seni, dan Hikmah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"Allah menganugerahkan hikmah kepada siapa yang Dia kehendaki. Dan barangsiapa diberi hikmah, sungguh telah diberi kebaikan yang banyak." (QS. Al-Baqarah: 269). Hikmah adalah dimensi kearifan yang melampaui sekadar pengetahuan teknis — inilah yang membedakan dokter yang baik dari dokter yang luar biasa.</w:t>
            </w:r>
          </w:p>
          <w:p>
            <w:pPr>
              <w:spacing w:after="50" w:before="20"/>
              <w:jc w:val="center"/>
            </w:pPr>
            <w:r>
              <w:rPr>
                <w:rFonts w:ascii="Arial" w:cs="Arial" w:eastAsia="Arial" w:hAnsi="Arial"/>
                <w:color w:val="8B6914"/>
                <w:sz w:val="18"/>
                <w:szCs w:val="18"/>
              </w:rPr>
              <w:t xml:space="preserve">— QS. Al-Baqarah (2): 269</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Kedokteran menempati posisi filosofis yang unik: applied science berbasis sains biomedis, technical art yang melibatkan keterampilan sensori-motoris, dan human practice yang pada dasarnya relasional dan etis. Kuhn (1962) menunjukkan bahwa ilmu berkembang melalui revolusi paradigma. Kedokteran telah mengalaminya berkali-kali: dari paradigma miasma menuju germ theory, dari pengobatan kuratif menuju preventif, dan kini bergerak menuju precision medicine dan integrative care. Para ilmuwan Muslim klasik seperti Ibnu Sina memandang kedokteran sebagai integrasi filsafat dan sains yang utuh — sebuah pendekatan yang relevan kembali dalam era kontemporer.</w:t>
      </w:r>
    </w:p>
    <w:p>
      <w:pPr>
        <w:pStyle w:val="Heading2"/>
        <w:spacing w:after="140" w:before="300"/>
      </w:pPr>
      <w:r>
        <w:rPr>
          <w:rFonts w:ascii="Arial" w:cs="Arial" w:eastAsia="Arial" w:hAnsi="Arial"/>
          <w:b/>
          <w:bCs/>
          <w:color w:val="1F5F8B"/>
          <w:sz w:val="30"/>
          <w:szCs w:val="30"/>
        </w:rPr>
        <w:t xml:space="preserve">E. Konstruksi Budaya dan Kearifan Lokal terhadap Kesehatan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"Wahai manusia, sesungguhnya Kami menciptakan kalian dari seorang laki-laki dan perempuan, dan menjadikan kalian berbangsa-bangsa dan bersuku-suku agar kalian saling mengenal (ta'aruf)." (QS. Al-Hujurat: 13). Keragaman suku dan budaya adalah kehendak Allah sebagai arena ta'aruf dan saling menghargai.</w:t>
            </w:r>
          </w:p>
          <w:p>
            <w:pPr>
              <w:spacing w:after="50" w:before="20"/>
              <w:jc w:val="center"/>
            </w:pPr>
            <w:r>
              <w:rPr>
                <w:rFonts w:ascii="Arial" w:cs="Arial" w:eastAsia="Arial" w:hAnsi="Arial"/>
                <w:color w:val="8B6914"/>
                <w:sz w:val="18"/>
                <w:szCs w:val="18"/>
              </w:rPr>
              <w:t xml:space="preserve">— QS. Al-Hujurat (49): 13</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Data Riskesdas 2018 menunjukkan bahwa penggunaan pelayanan kesehatan tradisional masih sangat tinggi di Indonesia. Dokter yang langsung menolak praktik tradisional sebagai 'tidak ilmiah' berisiko kehilangan kepercayaan pasien. Dokter yang pertama memahami perspektif budaya pasien — dengan menanyakan 'menurut Bapak/Ibu, apa yang menyebabkan penyakit ini?' — akan mendapatkan informasi klinis lebih kaya dan membangun fondasi kepercayaan yang lebih kuat. Dari perspektif Islam, menghormati keragaman budaya sambil memandu pasien menuju pemahaman berbasis bukti adalah manifestasi hikmah dalam praktik klinis.</w:t>
      </w:r>
    </w:p>
    <w:p>
      <w:pPr>
        <w:spacing w:after="100" w:before="0"/>
      </w:pPr>
      <w:r>
        <w:t xml:space="preserve"/>
      </w:r>
    </w:p>
    <w:p>
      <w:pPr>
        <w:spacing w:after="80" w:before="160"/>
        <w:jc w:val="both"/>
      </w:pPr>
      <w:r>
        <w:rPr>
          <w:rFonts w:ascii="Arial" w:cs="Arial" w:eastAsia="Arial" w:hAnsi="Arial"/>
          <w:b/>
          <w:bCs/>
          <w:color w:val="1A3A5C"/>
          <w:sz w:val="22"/>
          <w:szCs w:val="22"/>
        </w:rPr>
        <w:t xml:space="preserve">DAFTAR REFERENSI BAB 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C3C7" w:sz="6"/>
              <w:left w:val="single" w:color="BDC3C7" w:sz="6"/>
              <w:bottom w:val="single" w:color="BDC3C7" w:sz="6"/>
              <w:right w:val="single" w:color="BDC3C7" w:sz="6"/>
            </w:tcBorders>
            <w:shd w:fill="F8F9FA" w:val="clear"/>
            <w:tcMar>
              <w:top w:type="dxa" w:w="180"/>
              <w:left w:type="dxa" w:w="240"/>
              <w:bottom w:type="dxa" w:w="180"/>
              <w:right w:type="dxa" w:w="240"/>
            </w:tcMar>
          </w:tcPr>
          <w:p>
            <w:pPr>
              <w:spacing w:after="50" w:before="50"/>
              <w:ind w:left="500" w:hanging="500"/>
            </w:pPr>
            <w:r>
              <w:rPr>
                <w:rFonts w:ascii="Arial" w:cs="Arial" w:eastAsia="Arial" w:hAnsi="Arial"/>
                <w:color w:val="1C2833"/>
                <w:sz w:val="18"/>
                <w:szCs w:val="18"/>
              </w:rPr>
              <w:t xml:space="preserve">1. Association of American Medical Colleges. (2005). Cultural Competence Education for Medical Students. AAMC.</w:t>
            </w:r>
          </w:p>
          <w:p>
            <w:pPr>
              <w:spacing w:after="50" w:before="50"/>
              <w:ind w:left="500" w:hanging="500"/>
            </w:pPr>
            <w:r>
              <w:rPr>
                <w:rFonts w:ascii="Arial" w:cs="Arial" w:eastAsia="Arial" w:hAnsi="Arial"/>
                <w:color w:val="1C2833"/>
                <w:sz w:val="18"/>
                <w:szCs w:val="18"/>
              </w:rPr>
              <w:t xml:space="preserve">2. Engel, G. L. (1977). The need for a new medical model: A challenge for biomedicine. Science, 196(4286), 129-136. https://doi.org/10.1126/science.847460</w:t>
            </w:r>
          </w:p>
          <w:p>
            <w:pPr>
              <w:spacing w:after="50" w:before="50"/>
              <w:ind w:left="500" w:hanging="500"/>
            </w:pPr>
            <w:r>
              <w:rPr>
                <w:rFonts w:ascii="Arial" w:cs="Arial" w:eastAsia="Arial" w:hAnsi="Arial"/>
                <w:color w:val="1C2833"/>
                <w:sz w:val="18"/>
                <w:szCs w:val="18"/>
              </w:rPr>
              <w:t xml:space="preserve">3. Ghosh, A. K. (2004). Understanding medical uncertainty: A practical guide for physicians. Mayo Clinic Proceedings, 79(12), 1583-1591. https://doi.org/10.4065/79.12.1583</w:t>
            </w:r>
          </w:p>
          <w:p>
            <w:pPr>
              <w:spacing w:after="50" w:before="50"/>
              <w:ind w:left="500" w:hanging="500"/>
            </w:pPr>
            <w:r>
              <w:rPr>
                <w:rFonts w:ascii="Arial" w:cs="Arial" w:eastAsia="Arial" w:hAnsi="Arial"/>
                <w:color w:val="1C2833"/>
                <w:sz w:val="18"/>
                <w:szCs w:val="18"/>
              </w:rPr>
              <w:t xml:space="preserve">4. Kleinman, A. (1988). The Illness Narratives: Suffering, Healing and the Human Condition. Basic Books.</w:t>
            </w:r>
          </w:p>
          <w:p>
            <w:pPr>
              <w:spacing w:after="50" w:before="50"/>
              <w:ind w:left="500" w:hanging="500"/>
            </w:pPr>
            <w:r>
              <w:rPr>
                <w:rFonts w:ascii="Arial" w:cs="Arial" w:eastAsia="Arial" w:hAnsi="Arial"/>
                <w:color w:val="1C2833"/>
                <w:sz w:val="18"/>
                <w:szCs w:val="18"/>
              </w:rPr>
              <w:t xml:space="preserve">5. Kuhn, T. S. (1962). The Structure of Scientific Revolutions. University of Chicago Press.</w:t>
            </w:r>
          </w:p>
          <w:p>
            <w:pPr>
              <w:spacing w:after="50" w:before="50"/>
              <w:ind w:left="500" w:hanging="500"/>
            </w:pPr>
            <w:r>
              <w:rPr>
                <w:rFonts w:ascii="Arial" w:cs="Arial" w:eastAsia="Arial" w:hAnsi="Arial"/>
                <w:color w:val="1C2833"/>
                <w:sz w:val="18"/>
                <w:szCs w:val="18"/>
              </w:rPr>
              <w:t xml:space="preserve">6. Polanyi, M. (1966). The Tacit Dimension. Doubleday.</w:t>
            </w:r>
          </w:p>
          <w:p>
            <w:pPr>
              <w:spacing w:after="50" w:before="50"/>
              <w:ind w:left="500" w:hanging="500"/>
            </w:pPr>
            <w:r>
              <w:rPr>
                <w:rFonts w:ascii="Arial" w:cs="Arial" w:eastAsia="Arial" w:hAnsi="Arial"/>
                <w:color w:val="1C2833"/>
                <w:sz w:val="18"/>
                <w:szCs w:val="18"/>
              </w:rPr>
              <w:t xml:space="preserve">7. Sackett, D. L., Rosenberg, W. M. C., Gray, J. A. M., Haynes, R. B., &amp; Richardson, W. S. (1996). Evidence based medicine: What it is and what it isn't. BMJ, 312(7023), 71-72. https://doi.org/10.1136/bmj.312.7023.71</w:t>
            </w:r>
          </w:p>
          <w:p>
            <w:pPr>
              <w:spacing w:after="50" w:before="50"/>
              <w:ind w:left="500" w:hanging="500"/>
            </w:pPr>
            <w:r>
              <w:rPr>
                <w:rFonts w:ascii="Arial" w:cs="Arial" w:eastAsia="Arial" w:hAnsi="Arial"/>
                <w:color w:val="1C2833"/>
                <w:sz w:val="18"/>
                <w:szCs w:val="18"/>
              </w:rPr>
              <w:t xml:space="preserve">8. Al-Zuhaili, W. (1986). Ushul al-Fiqh al-Islami (Jilid II). Dar al-Fikr, Damaskus.</w:t>
            </w:r>
          </w:p>
          <w:p>
            <w:pPr>
              <w:spacing w:after="50" w:before="50"/>
              <w:ind w:left="500" w:hanging="500"/>
            </w:pPr>
            <w:r>
              <w:rPr>
                <w:rFonts w:ascii="Arial" w:cs="Arial" w:eastAsia="Arial" w:hAnsi="Arial"/>
                <w:color w:val="1C2833"/>
                <w:sz w:val="18"/>
                <w:szCs w:val="18"/>
              </w:rPr>
              <w:t xml:space="preserve">9. Al-Syatibi, A. I. (790 H/1997). Al-Muwafaqat fi Ushul al-Syari'ah (Jilid II) (A. Daraz, Tahqiq). Dar Ibn 'Affan.</w:t>
            </w:r>
          </w:p>
        </w:tc>
      </w:tr>
    </w:tbl>
    <w:p>
      <w:r>
        <w:br w:type="page"/>
      </w:r>
    </w:p>
    <w:p>
      <w:pPr>
        <w:pStyle w:val="Heading1"/>
        <w:spacing w:after="220" w:before="440"/>
      </w:pPr>
      <w:r>
        <w:rPr>
          <w:rFonts w:ascii="Arial" w:cs="Arial" w:eastAsia="Arial" w:hAnsi="Arial"/>
          <w:b/>
          <w:bCs/>
          <w:color w:val="1A3A5C"/>
          <w:sz w:val="40"/>
          <w:szCs w:val="40"/>
        </w:rPr>
        <w:t xml:space="preserve">BAB 3: BIOETIKA, FIQH KEDOKTERAN, DAN ETIKA PROFESI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A3A5C" w:sz="12"/>
              <w:left w:val="single" w:color="1A3A5C" w:sz="12"/>
              <w:bottom w:val="single" w:color="1A3A5C" w:sz="12"/>
              <w:right w:val="single" w:color="1A3A5C" w:sz="12"/>
            </w:tcBorders>
            <w:shd w:fill="F4F6F7" w:val="clear"/>
            <w:tcMar>
              <w:top w:type="dxa" w:w="180"/>
              <w:left w:type="dxa" w:w="260"/>
              <w:bottom w:type="dxa" w:w="180"/>
              <w:right w:type="dxa" w:w="260"/>
            </w:tcMar>
          </w:tcPr>
          <w:p>
            <w:pPr>
              <w:spacing w:after="120" w:before="0"/>
              <w:jc w:val="center"/>
            </w:pPr>
            <w:r>
              <w:rPr>
                <w:rFonts w:ascii="Arial" w:cs="Arial" w:eastAsia="Arial" w:hAnsi="Arial"/>
                <w:b/>
                <w:bCs/>
                <w:color w:val="1A3A5C"/>
                <w:sz w:val="24"/>
                <w:szCs w:val="24"/>
              </w:rPr>
              <w:t xml:space="preserve">TUJUAN PEMBELAJARAN</w:t>
            </w:r>
          </w:p>
          <w:p>
            <w:pPr>
              <w:spacing w:after="40" w:before="60"/>
            </w:pPr>
            <w:r>
              <w:rPr>
                <w:rFonts w:ascii="Arial" w:cs="Arial" w:eastAsia="Arial" w:hAnsi="Arial"/>
                <w:b/>
                <w:bCs/>
                <w:color w:val="0E7C7B"/>
                <w:sz w:val="20"/>
                <w:szCs w:val="20"/>
              </w:rPr>
              <w:t xml:space="preserve">🎯 Kognitif:</w:t>
            </w:r>
          </w:p>
          <w:p>
            <w:pPr>
              <w:spacing w:after="80" w:before="20"/>
            </w:pPr>
            <w:r>
              <w:rPr>
                <w:rFonts w:ascii="Arial" w:cs="Arial" w:eastAsia="Arial" w:hAnsi="Arial"/>
                <w:color w:val="1C2833"/>
                <w:sz w:val="20"/>
                <w:szCs w:val="20"/>
              </w:rPr>
              <w:t xml:space="preserve">Mahasiswa mampu menjelaskan empat prinsip bioetika Beauchamp &amp; Childress (2019) beserta padanannya dalam kaidah fiqih; menganalisis dilema etis menggunakan four-boxes method Jonsen et al. (2015); serta mendeskripsikan kerangka hukum praktik kedokteran Indonesia berdasarkan UU No. 17 Tahun 2023.</w:t>
            </w:r>
          </w:p>
          <w:p>
            <w:pPr>
              <w:spacing w:after="40" w:before="60"/>
            </w:pPr>
            <w:r>
              <w:rPr>
                <w:rFonts w:ascii="Arial" w:cs="Arial" w:eastAsia="Arial" w:hAnsi="Arial"/>
                <w:b/>
                <w:bCs/>
                <w:color w:val="0E7C7B"/>
                <w:sz w:val="20"/>
                <w:szCs w:val="20"/>
              </w:rPr>
              <w:t xml:space="preserve">🔧 Psikomotor:</w:t>
            </w:r>
          </w:p>
          <w:p>
            <w:pPr>
              <w:spacing w:after="80" w:before="20"/>
            </w:pPr>
            <w:r>
              <w:rPr>
                <w:rFonts w:ascii="Arial" w:cs="Arial" w:eastAsia="Arial" w:hAnsi="Arial"/>
                <w:color w:val="1C2833"/>
                <w:sz w:val="20"/>
                <w:szCs w:val="20"/>
              </w:rPr>
              <w:t xml:space="preserve">Mahasiswa mampu menerapkan four-boxes method dalam analisis kasus klinis; melaksanakan informed consent bermakna menggunakan teknik teach-back; serta menyusun dokumentasi klinis sesuai standar Permenkes No. 24 Tahun 2022.</w:t>
            </w:r>
          </w:p>
          <w:p>
            <w:pPr>
              <w:spacing w:after="40" w:before="60"/>
            </w:pPr>
            <w:r>
              <w:rPr>
                <w:rFonts w:ascii="Arial" w:cs="Arial" w:eastAsia="Arial" w:hAnsi="Arial"/>
                <w:b/>
                <w:bCs/>
                <w:color w:val="0E7C7B"/>
                <w:sz w:val="20"/>
                <w:szCs w:val="20"/>
              </w:rPr>
              <w:t xml:space="preserve">💡 Afektif:</w:t>
            </w:r>
          </w:p>
          <w:p>
            <w:pPr>
              <w:spacing w:after="40" w:before="20"/>
            </w:pPr>
            <w:r>
              <w:rPr>
                <w:rFonts w:ascii="Arial" w:cs="Arial" w:eastAsia="Arial" w:hAnsi="Arial"/>
                <w:color w:val="1C2833"/>
                <w:sz w:val="20"/>
                <w:szCs w:val="20"/>
              </w:rPr>
              <w:t xml:space="preserve">Mahasiswa mengembangkan kepekaan moral terhadap dimensi etis setiap tindakan klinis sebagai ibadah; menunjukkan komitmen terhadap kejujuran (shidq) dan transparansi; dan membangun integritas profesional sebagai karakter hidup yang dilandasi keimanan.</w:t>
            </w:r>
          </w:p>
        </w:tc>
      </w:tr>
    </w:tbl>
    <w:p>
      <w:pPr>
        <w:spacing w:after="100" w:before="0"/>
      </w:pPr>
      <w:r>
        <w:t xml:space="preserve"/>
      </w:r>
    </w:p>
    <w:p>
      <w:pPr>
        <w:pStyle w:val="Heading2"/>
        <w:spacing w:after="140" w:before="300"/>
      </w:pPr>
      <w:r>
        <w:rPr>
          <w:rFonts w:ascii="Arial" w:cs="Arial" w:eastAsia="Arial" w:hAnsi="Arial"/>
          <w:b/>
          <w:bCs/>
          <w:color w:val="1F5F8B"/>
          <w:sz w:val="30"/>
          <w:szCs w:val="30"/>
        </w:rPr>
        <w:t xml:space="preserve">A. Empat Pilar Bioetika dan Padanannya dalam Maqashid Syariah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"Tidak boleh membahayakan diri sendiri dan tidak boleh membahayakan orang lain." Kaidah fiqih la dharara wa la dhirar ini adalah fondasi non-maleficence Islam yang telah ada berabad-abad sebelum Beauchamp &amp; Childress merumuskan prinsip bioetika modern (2019).</w:t>
            </w:r>
          </w:p>
          <w:p>
            <w:pPr>
              <w:spacing w:after="50" w:before="20"/>
              <w:jc w:val="center"/>
            </w:pPr>
            <w:r>
              <w:rPr>
                <w:rFonts w:ascii="Arial" w:cs="Arial" w:eastAsia="Arial" w:hAnsi="Arial"/>
                <w:color w:val="8B6914"/>
                <w:sz w:val="18"/>
                <w:szCs w:val="18"/>
              </w:rPr>
              <w:t xml:space="preserve">— HR. Ibn Majah No. 2341; kaidah fiqih yang disepakati ulama</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Bioetika sebagai disiplin akademis lahir pada 1960-1970an sebagai respons terhadap skandal penelitian medis — terutama Tuskegee Syphilis Study (1932-1972) — dan kemajuan teknologi medis yang menghadirkan dilema moral baru. Beauchamp &amp; Childress (2019) dalam Principles of Biomedical Ethics (edisi ke-8) merumuskan empat prinsip yang kini menjadi standar global, masing-masing memiliki padanan kuat dalam tradisi fiqih Islam.</w:t>
      </w:r>
    </w:p>
    <w:p>
      <w:pPr>
        <w:spacing w:after="80" w:before="160"/>
        <w:jc w:val="both"/>
      </w:pPr>
      <w:r>
        <w:rPr>
          <w:rFonts w:ascii="Arial" w:cs="Arial" w:eastAsia="Arial" w:hAnsi="Arial"/>
          <w:b/>
          <w:bCs/>
          <w:color w:val="1A3A5C"/>
          <w:sz w:val="22"/>
          <w:szCs w:val="22"/>
        </w:rPr>
        <w:t xml:space="preserve">Otonomi (Autonomy)</w:t>
      </w:r>
    </w:p>
    <w:p>
      <w:pPr>
        <w:spacing w:after="140" w:before="100" w:line="380" w:lineRule="auto"/>
        <w:jc w:val="both"/>
      </w:pPr>
      <w:r>
        <w:rPr>
          <w:rFonts w:ascii="Arial" w:cs="Arial" w:eastAsia="Arial" w:hAnsi="Arial"/>
          <w:color w:val="1C2833"/>
          <w:sz w:val="22"/>
          <w:szCs w:val="22"/>
        </w:rPr>
        <w:t xml:space="preserve">Hak pasien membuat keputusan tentang dirinya berdasarkan nilai dan preferensi pribadinya. Diwujudkan melalui informed consent yang bermakna, bukan sekadar tanda tangan formalitas. Dalam budaya kolektivistik Indonesia yang menghormati otoritas, dokter yang humanis secara aktif menciptakan ruang aman bagi pasien untuk mengekspresikan keraguan dan preferensinya.</w:t>
      </w:r>
    </w:p>
    <w:p>
      <w:pPr>
        <w:spacing w:after="80" w:before="160"/>
        <w:jc w:val="both"/>
      </w:pPr>
      <w:r>
        <w:rPr>
          <w:rFonts w:ascii="Arial" w:cs="Arial" w:eastAsia="Arial" w:hAnsi="Arial"/>
          <w:b/>
          <w:bCs/>
          <w:color w:val="1A3A5C"/>
          <w:sz w:val="22"/>
          <w:szCs w:val="22"/>
        </w:rPr>
        <w:t xml:space="preserve">Beneficence (Berbuat Baik)</w:t>
      </w:r>
    </w:p>
    <w:p>
      <w:pPr>
        <w:spacing w:after="140" w:before="100" w:line="380" w:lineRule="auto"/>
        <w:jc w:val="both"/>
      </w:pPr>
      <w:r>
        <w:rPr>
          <w:rFonts w:ascii="Arial" w:cs="Arial" w:eastAsia="Arial" w:hAnsi="Arial"/>
          <w:color w:val="1C2833"/>
          <w:sz w:val="22"/>
          <w:szCs w:val="22"/>
        </w:rPr>
        <w:t xml:space="preserve">Kewajiban aktif mempromosikan kesejahteraan pasien, berpadanan dengan prinsip maslahah dalam fiqih dan konsep ihsan dalam akhlak Islam. Nabi SAW bersabda bahwa Allah mewajibkan ihsan dalam segala sesuatu (HR. Muslim No. 1955) — standar yang melampaui sekadar 'tidak merugikan'.</w:t>
      </w:r>
    </w:p>
    <w:p>
      <w:pPr>
        <w:spacing w:after="80" w:before="160"/>
        <w:jc w:val="both"/>
      </w:pPr>
      <w:r>
        <w:rPr>
          <w:rFonts w:ascii="Arial" w:cs="Arial" w:eastAsia="Arial" w:hAnsi="Arial"/>
          <w:b/>
          <w:bCs/>
          <w:color w:val="1A3A5C"/>
          <w:sz w:val="22"/>
          <w:szCs w:val="22"/>
        </w:rPr>
        <w:t xml:space="preserve">Non-maleficence (Tidak Merugikan)</w:t>
      </w:r>
    </w:p>
    <w:p>
      <w:pPr>
        <w:spacing w:after="140" w:before="100" w:line="380" w:lineRule="auto"/>
        <w:jc w:val="both"/>
      </w:pPr>
      <w:r>
        <w:rPr>
          <w:rFonts w:ascii="Arial" w:cs="Arial" w:eastAsia="Arial" w:hAnsi="Arial"/>
          <w:color w:val="1C2833"/>
          <w:sz w:val="22"/>
          <w:szCs w:val="22"/>
        </w:rPr>
        <w:t xml:space="preserve">Primum non nocere — pertama-tama jangan merugikan — berpadanan langsung dengan kaidah fiqih la dharara wa la dhirar. Harm dalam kedokteran tidak hanya bersifat fisik, tetapi juga psikologis, sosial, dan finansial. Overdiagnosis dan overtreatment adalah pelanggaran non-maleficence yang semakin diakui sebagai masalah serius dalam praktik modern.</w:t>
      </w:r>
    </w:p>
    <w:p>
      <w:pPr>
        <w:spacing w:after="80" w:before="160"/>
        <w:jc w:val="both"/>
      </w:pPr>
      <w:r>
        <w:rPr>
          <w:rFonts w:ascii="Arial" w:cs="Arial" w:eastAsia="Arial" w:hAnsi="Arial"/>
          <w:b/>
          <w:bCs/>
          <w:color w:val="1A3A5C"/>
          <w:sz w:val="22"/>
          <w:szCs w:val="22"/>
        </w:rPr>
        <w:t xml:space="preserve">Justice (Keadilan)</w:t>
      </w:r>
    </w:p>
    <w:p>
      <w:pPr>
        <w:spacing w:after="140" w:before="100" w:line="380" w:lineRule="auto"/>
        <w:jc w:val="both"/>
      </w:pPr>
      <w:r>
        <w:rPr>
          <w:rFonts w:ascii="Arial" w:cs="Arial" w:eastAsia="Arial" w:hAnsi="Arial"/>
          <w:color w:val="1C2833"/>
          <w:sz w:val="22"/>
          <w:szCs w:val="22"/>
        </w:rPr>
        <w:t xml:space="preserve">Distribusi sumber daya yang adil dan proses pengambilan keputusan yang transparan, berpadanan dengan prinsip 'adl dalam Islam (QS. An-Nahl: 90). Data Profil Kesehatan Indonesia 2021 (Kemenkes RI) menunjukkan disparitas rasio dokter per 100.000 penduduk yang sangat besar antara Pulau Jawa dan wilayah Indonesia Timur — realitas yang menuntut dokter memikirkan tanggung jawab sosial melampaui ruang praktik pribadi.</w:t>
      </w:r>
    </w:p>
    <w:p>
      <w:pPr>
        <w:pStyle w:val="Heading2"/>
        <w:spacing w:after="140" w:before="300"/>
      </w:pPr>
      <w:r>
        <w:rPr>
          <w:rFonts w:ascii="Arial" w:cs="Arial" w:eastAsia="Arial" w:hAnsi="Arial"/>
          <w:b/>
          <w:bCs/>
          <w:color w:val="1F5F8B"/>
          <w:sz w:val="30"/>
          <w:szCs w:val="30"/>
        </w:rPr>
        <w:t xml:space="preserve">B. Informed Consent: Antara Amanah, Shidq, dan Standar Hukum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"Seorang dokter yang melakukan pengobatan tanpa diketahui sebelumnya bahwa ia memiliki keahlian, maka ia menanggung akibatnya (dhamin)." Hadits ini menegaskan tanggung jawab moral dan legal dokter untuk memastikan kompetensinya dan menginformasikan pasien secara jujur.</w:t>
            </w:r>
          </w:p>
          <w:p>
            <w:pPr>
              <w:spacing w:after="50" w:before="20"/>
              <w:jc w:val="center"/>
            </w:pPr>
            <w:r>
              <w:rPr>
                <w:rFonts w:ascii="Arial" w:cs="Arial" w:eastAsia="Arial" w:hAnsi="Arial"/>
                <w:color w:val="8B6914"/>
                <w:sz w:val="18"/>
                <w:szCs w:val="18"/>
              </w:rPr>
              <w:t xml:space="preserve">— HR. Abu Dawud No. 4586; dinilai hasan oleh al-Albani</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Di Indonesia, informed consent diatur oleh UU No. 17 Tahun 2023 sebagai landasan utama dan Permenkes No. 290/2008 sebagai aturan pelaksana yang masih berlaku. Faden &amp; Beauchamp (1986) mengidentifikasi tiga kondisi validitas: Disclosure (informasi material yang memadai), Comprehension (pasien benar-benar memahami — bukan sekadar mendengar), dan Voluntariness (diberikan bebas tanpa paksaan).</w:t>
      </w:r>
    </w:p>
    <w:p>
      <w:pPr>
        <w:spacing w:after="80" w:before="160"/>
        <w:jc w:val="both"/>
      </w:pPr>
      <w:r>
        <w:rPr>
          <w:rFonts w:ascii="Arial" w:cs="Arial" w:eastAsia="Arial" w:hAnsi="Arial"/>
          <w:b/>
          <w:bCs/>
          <w:color w:val="1A3A5C"/>
          <w:sz w:val="22"/>
          <w:szCs w:val="22"/>
        </w:rPr>
        <w:t xml:space="preserve">Teknik Teach-Back: Memverifikasi Pemahaman</w:t>
      </w:r>
    </w:p>
    <w:p>
      <w:pPr>
        <w:spacing w:after="140" w:before="100" w:line="380" w:lineRule="auto"/>
        <w:jc w:val="both"/>
      </w:pPr>
      <w:r>
        <w:rPr>
          <w:rFonts w:ascii="Arial" w:cs="Arial" w:eastAsia="Arial" w:hAnsi="Arial"/>
          <w:color w:val="1C2833"/>
          <w:sz w:val="22"/>
          <w:szCs w:val="22"/>
        </w:rPr>
        <w:t xml:space="preserve">Penelitian menunjukkan pasien rata-rata melupakan 40-80% informasi medis segera setelah konsultasi. Teknik teach-back — meminta pasien menjelaskan kembali dengan kata-katanya sendiri — adalah cara efektif memverifikasi pemahaman. Ini adalah manifestasi konkret dari shidq (kejujuran): memastikan informasi benar-benar tersampaikan, bukan sekadar diucapkan.</w:t>
      </w:r>
    </w:p>
    <w:p>
      <w:pPr>
        <w:spacing w:after="80" w:before="160"/>
        <w:jc w:val="both"/>
      </w:pPr>
      <w:r>
        <w:rPr>
          <w:rFonts w:ascii="Arial" w:cs="Arial" w:eastAsia="Arial" w:hAnsi="Arial"/>
          <w:b/>
          <w:bCs/>
          <w:color w:val="1A3A5C"/>
          <w:sz w:val="22"/>
          <w:szCs w:val="22"/>
        </w:rPr>
        <w:t xml:space="preserve">Kapasitas Pengambilan Keputusan</w:t>
      </w:r>
    </w:p>
    <w:p>
      <w:pPr>
        <w:spacing w:after="140" w:before="100" w:line="380" w:lineRule="auto"/>
        <w:jc w:val="both"/>
      </w:pPr>
      <w:r>
        <w:rPr>
          <w:rFonts w:ascii="Arial" w:cs="Arial" w:eastAsia="Arial" w:hAnsi="Arial"/>
          <w:color w:val="1C2833"/>
          <w:sz w:val="22"/>
          <w:szCs w:val="22"/>
        </w:rPr>
        <w:t xml:space="preserve">Appelbaum (2007) mengidentifikasi empat kriteria kapasitas: memahami informasi relevan, mengapresiasi relevansinya untuk situasinya sendiri, menimbang pilihan secara rasional, dan mengkomunikasikan keputusan secara konsisten. Pasien yang tidak memenuhi kriteria ini memerlukan surrogate decision-maker yang bertindak atas kepentingan terbaik pasien.</w:t>
      </w:r>
    </w:p>
    <w:p>
      <w:pPr>
        <w:pStyle w:val="Heading2"/>
        <w:spacing w:after="140" w:before="300"/>
      </w:pPr>
      <w:r>
        <w:rPr>
          <w:rFonts w:ascii="Arial" w:cs="Arial" w:eastAsia="Arial" w:hAnsi="Arial"/>
          <w:b/>
          <w:bCs/>
          <w:color w:val="1F5F8B"/>
          <w:sz w:val="30"/>
          <w:szCs w:val="30"/>
        </w:rPr>
        <w:t xml:space="preserve">C. Dilema Etis dalam Praktik Klinis: Four-Boxes dan Kaidah Fiqih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"Darurat itu membolehkan hal-hal yang dilarang (al-dharuratu tubihul mahdzurat), namun hanya sesuai kadar keperluannya (al-dharurat tuqaddar biqadariha)." Dua kaidah fiqih yang saling melengkapi ini memberikan panduan bagi dokter dalam situasi darurat klinis.</w:t>
            </w:r>
          </w:p>
          <w:p>
            <w:pPr>
              <w:spacing w:after="50" w:before="20"/>
              <w:jc w:val="center"/>
            </w:pPr>
            <w:r>
              <w:rPr>
                <w:rFonts w:ascii="Arial" w:cs="Arial" w:eastAsia="Arial" w:hAnsi="Arial"/>
                <w:color w:val="8B6914"/>
                <w:sz w:val="18"/>
                <w:szCs w:val="18"/>
              </w:rPr>
              <w:t xml:space="preserve">— Kaidah Fiqih Klasik dalam Al-Asybah wa al-Nazha'ir, As-Suyuthi</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Jonsen, Siegler &amp; Winslade (2015) mengembangkan four-boxes method sebagai kerangka analisis dilema etis klinis yang terstruktur. Empat kotak yang harus dipertimbangkan: (1) Medical Indications — indikasi medis dan opsi perawatan yang tersedia; (2) Patient Preferences — preferensi dan otonomi pasien; (3) Quality of Life — dampak kondisi terhadap kualitas hidup; (4) Contextual Features — faktor keluarga, sosial, hukum, dan institusional. Dalam konteks Indonesia, dilema yang sangat umum adalah ketika keluarga meminta dokter tidak memberitahu pasien tentang diagnosis terminal. Otonomi pasien berkonflik dengan nilai kolektivisme keluarga. Navigasi ini memerlukan hikmah, komunikasi yang hati-hati, dan seringkali mediasi aktif.</w:t>
      </w:r>
    </w:p>
    <w:p>
      <w:pPr>
        <w:pStyle w:val="Heading2"/>
        <w:spacing w:after="140" w:before="300"/>
      </w:pPr>
      <w:r>
        <w:rPr>
          <w:rFonts w:ascii="Arial" w:cs="Arial" w:eastAsia="Arial" w:hAnsi="Arial"/>
          <w:b/>
          <w:bCs/>
          <w:color w:val="1F5F8B"/>
          <w:sz w:val="30"/>
          <w:szCs w:val="30"/>
        </w:rPr>
        <w:t xml:space="preserve">D. Etika Digital dan Media Sosial dalam Praktik Medis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"Barangsiapa beriman kepada Allah dan hari akhir, hendaklah ia berkata baik atau diam." Prinsip fundamental ini berlaku penuh di era media sosial: setiap postingan harus dipertanggungjawabkan, sama seperti ucapan.</w:t>
            </w:r>
          </w:p>
          <w:p>
            <w:pPr>
              <w:spacing w:after="50" w:before="20"/>
              <w:jc w:val="center"/>
            </w:pPr>
            <w:r>
              <w:rPr>
                <w:rFonts w:ascii="Arial" w:cs="Arial" w:eastAsia="Arial" w:hAnsi="Arial"/>
                <w:color w:val="8B6914"/>
                <w:sz w:val="18"/>
                <w:szCs w:val="18"/>
              </w:rPr>
              <w:t xml:space="preserve">— HR. Bukhari No. 6018; HR. Muslim No. 47</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Era digital menghadirkan dimensi etika baru yang belum sepenuhnya terantisipasi dalam kode etik tradisional. Pandemi COVID-19 mengungkap bahaya infodemi: penyebaran informasi salah dengan kecepatan melebihi virus itu sendiri (WHO, 2020). Dokter, sebagai figur otoritas kesehatan yang dipercaya publik, memiliki tanggung jawab besar menjadi sumber informasi yang akurat dan bertanggung jawab di ruang digital. Membagikan foto pasien tanpa izin, bahkan tanpa menyebut nama, dapat melanggar konfidensialitas pasien apabila detailnya cukup identifiable.</w:t>
      </w:r>
    </w:p>
    <w:p>
      <w:pPr>
        <w:pStyle w:val="Heading2"/>
        <w:spacing w:after="140" w:before="300"/>
      </w:pPr>
      <w:r>
        <w:rPr>
          <w:rFonts w:ascii="Arial" w:cs="Arial" w:eastAsia="Arial" w:hAnsi="Arial"/>
          <w:b/>
          <w:bCs/>
          <w:color w:val="1F5F8B"/>
          <w:sz w:val="30"/>
          <w:szCs w:val="30"/>
        </w:rPr>
        <w:t xml:space="preserve">E. Kerangka Hukum Praktik Kedokteran di Indonesia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"Wahai orang-orang yang beriman, taatilah Allah dan taatilah Rasul-Nya serta ulil amri di antara kalian." (QS. An-Nisa: 59). Kewajiban menaati hukum yang sah mencakup kepatuhan terhadap regulasi praktik kedokteran yang berlaku.</w:t>
            </w:r>
          </w:p>
          <w:p>
            <w:pPr>
              <w:spacing w:after="50" w:before="20"/>
              <w:jc w:val="center"/>
            </w:pPr>
            <w:r>
              <w:rPr>
                <w:rFonts w:ascii="Arial" w:cs="Arial" w:eastAsia="Arial" w:hAnsi="Arial"/>
                <w:color w:val="8B6914"/>
                <w:sz w:val="18"/>
                <w:szCs w:val="18"/>
              </w:rPr>
              <w:t xml:space="preserve">— QS. An-Nisa (4): 59</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Undang-Undang No. 17 Tahun 2023 tentang Kesehatan adalah landasan hukum utama praktik kedokteran di Indonesia — omnibus law yang mengintegrasikan 11 undang-undang kesehatan sebelumnya termasuk UU No. 29 Tahun 2004. Berdasarkan UU ini, Majelis Disiplin Profesi (MDP) berkedudukan di bawah Konsil Kesehatan Indonesia menggantikan MKDKI. Rekam medis diatur oleh Permenkes No. 24 Tahun 2022; dari perspektif akhlak, ketelitian dalam dokumentasi adalah bagian dari amanah profesional. Adagium hukum medis yang relevan: 'If it wasn't documented, it wasn't done'.</w:t>
      </w:r>
    </w:p>
    <w:p>
      <w:pPr>
        <w:pStyle w:val="Heading2"/>
        <w:spacing w:after="140" w:before="300"/>
      </w:pPr>
      <w:r>
        <w:rPr>
          <w:rFonts w:ascii="Arial" w:cs="Arial" w:eastAsia="Arial" w:hAnsi="Arial"/>
          <w:b/>
          <w:bCs/>
          <w:color w:val="1F5F8B"/>
          <w:sz w:val="30"/>
          <w:szCs w:val="30"/>
        </w:rPr>
        <w:t xml:space="preserve">F. Etika Penelitian Biomedis: Nuremberg, Helsinki, dan Fiqih Kontemporer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janganlah kamu mengikuti apa yang kamu tidak mempunyai pengetahuan tentangnya." (QS. Al-Isra: 36). Ayat ini menegaskan pentingnya dasar ilmu yang sahih sebelum bertindak — termasuk dalam konteks penelitian biomedis yang memerlukan metodologi ketat dan persetujuan etik.</w:t>
            </w:r>
          </w:p>
          <w:p>
            <w:pPr>
              <w:spacing w:after="50" w:before="20"/>
              <w:jc w:val="center"/>
            </w:pPr>
            <w:r>
              <w:rPr>
                <w:rFonts w:ascii="Arial" w:cs="Arial" w:eastAsia="Arial" w:hAnsi="Arial"/>
                <w:color w:val="8B6914"/>
                <w:sz w:val="18"/>
                <w:szCs w:val="18"/>
              </w:rPr>
              <w:t xml:space="preserve">— QS. Al-Isra (17): 36</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Kode Nuremberg (1947) menetapkan prinsip dasar: partisipasi dalam penelitian harus berdasarkan persetujuan sukarela. Deklarasi Helsinki (WMA, 2013) mengembangkan standar etika penelitian secara komprehensif, termasuk kewajiban independent ethical review committee. Sachedina (2009) dalam Islamic Biomedical Ethics menunjukkan bahwa prinsip-prinsip ini memiliki landasan yang kuat dalam fiqih Islam. Penelitian yang dilakukan dengan metodologi yang benar, persetujuan sukarela partisipan, dan tujuan meningkatkan kemaslahatan umat adalah tindakan yang sangat mulia dalam Islam.</w:t>
      </w:r>
    </w:p>
    <w:p>
      <w:pPr>
        <w:spacing w:after="100" w:before="0"/>
      </w:pPr>
      <w:r>
        <w:t xml:space="preserve"/>
      </w:r>
    </w:p>
    <w:p>
      <w:pPr>
        <w:spacing w:after="80" w:before="160"/>
        <w:jc w:val="both"/>
      </w:pPr>
      <w:r>
        <w:rPr>
          <w:rFonts w:ascii="Arial" w:cs="Arial" w:eastAsia="Arial" w:hAnsi="Arial"/>
          <w:b/>
          <w:bCs/>
          <w:color w:val="1A3A5C"/>
          <w:sz w:val="22"/>
          <w:szCs w:val="22"/>
        </w:rPr>
        <w:t xml:space="preserve">DAFTAR REFERENSI BAB 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C3C7" w:sz="6"/>
              <w:left w:val="single" w:color="BDC3C7" w:sz="6"/>
              <w:bottom w:val="single" w:color="BDC3C7" w:sz="6"/>
              <w:right w:val="single" w:color="BDC3C7" w:sz="6"/>
            </w:tcBorders>
            <w:shd w:fill="F8F9FA" w:val="clear"/>
            <w:tcMar>
              <w:top w:type="dxa" w:w="180"/>
              <w:left w:type="dxa" w:w="240"/>
              <w:bottom w:type="dxa" w:w="180"/>
              <w:right w:type="dxa" w:w="240"/>
            </w:tcMar>
          </w:tcPr>
          <w:p>
            <w:pPr>
              <w:spacing w:after="50" w:before="50"/>
              <w:ind w:left="500" w:hanging="500"/>
            </w:pPr>
            <w:r>
              <w:rPr>
                <w:rFonts w:ascii="Arial" w:cs="Arial" w:eastAsia="Arial" w:hAnsi="Arial"/>
                <w:color w:val="1C2833"/>
                <w:sz w:val="18"/>
                <w:szCs w:val="18"/>
              </w:rPr>
              <w:t xml:space="preserve">1. Appelbaum, P. S. (2007). Assessment of patients' competence to consent to treatment. New England Journal of Medicine, 357(18), 1834-1840. https://doi.org/10.1056/NEJMcp074045</w:t>
            </w:r>
          </w:p>
          <w:p>
            <w:pPr>
              <w:spacing w:after="50" w:before="50"/>
              <w:ind w:left="500" w:hanging="500"/>
            </w:pPr>
            <w:r>
              <w:rPr>
                <w:rFonts w:ascii="Arial" w:cs="Arial" w:eastAsia="Arial" w:hAnsi="Arial"/>
                <w:color w:val="1C2833"/>
                <w:sz w:val="18"/>
                <w:szCs w:val="18"/>
              </w:rPr>
              <w:t xml:space="preserve">2. Beauchamp, T. L., &amp; Childress, J. F. (2019). Principles of Biomedical Ethics (8th ed.). Oxford University Press.</w:t>
            </w:r>
          </w:p>
          <w:p>
            <w:pPr>
              <w:spacing w:after="50" w:before="50"/>
              <w:ind w:left="500" w:hanging="500"/>
            </w:pPr>
            <w:r>
              <w:rPr>
                <w:rFonts w:ascii="Arial" w:cs="Arial" w:eastAsia="Arial" w:hAnsi="Arial"/>
                <w:color w:val="1C2833"/>
                <w:sz w:val="18"/>
                <w:szCs w:val="18"/>
              </w:rPr>
              <w:t xml:space="preserve">3. Faden, R. R., &amp; Beauchamp, T. L. (1986). A History and Theory of Informed Consent. Oxford University Press.</w:t>
            </w:r>
          </w:p>
          <w:p>
            <w:pPr>
              <w:spacing w:after="50" w:before="50"/>
              <w:ind w:left="500" w:hanging="500"/>
            </w:pPr>
            <w:r>
              <w:rPr>
                <w:rFonts w:ascii="Arial" w:cs="Arial" w:eastAsia="Arial" w:hAnsi="Arial"/>
                <w:color w:val="1C2833"/>
                <w:sz w:val="18"/>
                <w:szCs w:val="18"/>
              </w:rPr>
              <w:t xml:space="preserve">4. Al-Ghazali, A. H. M. (t.t.). Ihya' Ulumiddin (Jilid III). Dar al-Kutub al-Ilmiyah.</w:t>
            </w:r>
          </w:p>
          <w:p>
            <w:pPr>
              <w:spacing w:after="50" w:before="50"/>
              <w:ind w:left="500" w:hanging="500"/>
            </w:pPr>
            <w:r>
              <w:rPr>
                <w:rFonts w:ascii="Arial" w:cs="Arial" w:eastAsia="Arial" w:hAnsi="Arial"/>
                <w:color w:val="1C2833"/>
                <w:sz w:val="18"/>
                <w:szCs w:val="18"/>
              </w:rPr>
              <w:t xml:space="preserve">5. Ibn Qayyim al-Jawziyyah. (751 H/1998). Al-Tibb al-Nabawi (Tahqiq: 'Abd al-Ghani 'Abd al-Khaliq). Dar Ibn al-Jauzi, Riyadh.</w:t>
            </w:r>
          </w:p>
          <w:p>
            <w:pPr>
              <w:spacing w:after="50" w:before="50"/>
              <w:ind w:left="500" w:hanging="500"/>
            </w:pPr>
            <w:r>
              <w:rPr>
                <w:rFonts w:ascii="Arial" w:cs="Arial" w:eastAsia="Arial" w:hAnsi="Arial"/>
                <w:color w:val="1C2833"/>
                <w:sz w:val="18"/>
                <w:szCs w:val="18"/>
              </w:rPr>
              <w:t xml:space="preserve">6. Jonsen, A. R., Siegler, M., &amp; Winslade, W. J. (2015). Clinical Ethics: A Practical Approach (8th ed.). McGraw-Hill.</w:t>
            </w:r>
          </w:p>
          <w:p>
            <w:pPr>
              <w:spacing w:after="50" w:before="50"/>
              <w:ind w:left="500" w:hanging="500"/>
            </w:pPr>
            <w:r>
              <w:rPr>
                <w:rFonts w:ascii="Arial" w:cs="Arial" w:eastAsia="Arial" w:hAnsi="Arial"/>
                <w:color w:val="1C2833"/>
                <w:sz w:val="18"/>
                <w:szCs w:val="18"/>
              </w:rPr>
              <w:t xml:space="preserve">7. Pengurus Besar Ikatan Dokter Indonesia. (2012). Kode Etik Kedokteran Indonesia (KODEKI). IDI.</w:t>
            </w:r>
          </w:p>
          <w:p>
            <w:pPr>
              <w:spacing w:after="50" w:before="50"/>
              <w:ind w:left="500" w:hanging="500"/>
            </w:pPr>
            <w:r>
              <w:rPr>
                <w:rFonts w:ascii="Arial" w:cs="Arial" w:eastAsia="Arial" w:hAnsi="Arial"/>
                <w:color w:val="1C2833"/>
                <w:sz w:val="18"/>
                <w:szCs w:val="18"/>
              </w:rPr>
              <w:t xml:space="preserve">8. Peraturan Menteri Kesehatan Nomor 290/Menkes/Per/III/2008 tentang Persetujuan Tindakan Kedokteran. Kementerian Kesehatan RI.</w:t>
            </w:r>
          </w:p>
          <w:p>
            <w:pPr>
              <w:spacing w:after="50" w:before="50"/>
              <w:ind w:left="500" w:hanging="500"/>
            </w:pPr>
            <w:r>
              <w:rPr>
                <w:rFonts w:ascii="Arial" w:cs="Arial" w:eastAsia="Arial" w:hAnsi="Arial"/>
                <w:color w:val="1C2833"/>
                <w:sz w:val="18"/>
                <w:szCs w:val="18"/>
              </w:rPr>
              <w:t xml:space="preserve">9. Peraturan Menteri Kesehatan Nomor 11 Tahun 2017 tentang Keselamatan Pasien. Kementerian Kesehatan RI.</w:t>
            </w:r>
          </w:p>
          <w:p>
            <w:pPr>
              <w:spacing w:after="50" w:before="50"/>
              <w:ind w:left="500" w:hanging="500"/>
            </w:pPr>
            <w:r>
              <w:rPr>
                <w:rFonts w:ascii="Arial" w:cs="Arial" w:eastAsia="Arial" w:hAnsi="Arial"/>
                <w:color w:val="1C2833"/>
                <w:sz w:val="18"/>
                <w:szCs w:val="18"/>
              </w:rPr>
              <w:t xml:space="preserve">10. Peraturan Menteri Kesehatan Nomor 24 Tahun 2022 tentang Rekam Medis. Kementerian Kesehatan RI.</w:t>
            </w:r>
          </w:p>
          <w:p>
            <w:pPr>
              <w:spacing w:after="50" w:before="50"/>
              <w:ind w:left="500" w:hanging="500"/>
            </w:pPr>
            <w:r>
              <w:rPr>
                <w:rFonts w:ascii="Arial" w:cs="Arial" w:eastAsia="Arial" w:hAnsi="Arial"/>
                <w:color w:val="1C2833"/>
                <w:sz w:val="18"/>
                <w:szCs w:val="18"/>
              </w:rPr>
              <w:t xml:space="preserve">11. Sachedina, A. (2009). Islamic Biomedical Ethics: Principles and Application. Oxford University Press.</w:t>
            </w:r>
          </w:p>
          <w:p>
            <w:pPr>
              <w:spacing w:after="50" w:before="50"/>
              <w:ind w:left="500" w:hanging="500"/>
            </w:pPr>
            <w:r>
              <w:rPr>
                <w:rFonts w:ascii="Arial" w:cs="Arial" w:eastAsia="Arial" w:hAnsi="Arial"/>
                <w:color w:val="1C2833"/>
                <w:sz w:val="18"/>
                <w:szCs w:val="18"/>
              </w:rPr>
              <w:t xml:space="preserve">12. Konsil Kedokteran Indonesia. (2012). Standar Kompetensi Dokter Indonesia. KKI.</w:t>
            </w:r>
          </w:p>
          <w:p>
            <w:pPr>
              <w:spacing w:after="50" w:before="50"/>
              <w:ind w:left="500" w:hanging="500"/>
            </w:pPr>
            <w:r>
              <w:rPr>
                <w:rFonts w:ascii="Arial" w:cs="Arial" w:eastAsia="Arial" w:hAnsi="Arial"/>
                <w:color w:val="1C2833"/>
                <w:sz w:val="18"/>
                <w:szCs w:val="18"/>
              </w:rPr>
              <w:t xml:space="preserve">13. Undang-Undang Republik Indonesia Nomor 17 Tahun 2023 tentang Kesehatan. Sekretariat Negara RI. https://peraturan.bpk.go.id/Details/245483</w:t>
            </w:r>
          </w:p>
          <w:p>
            <w:pPr>
              <w:spacing w:after="50" w:before="50"/>
              <w:ind w:left="500" w:hanging="500"/>
            </w:pPr>
            <w:r>
              <w:rPr>
                <w:rFonts w:ascii="Arial" w:cs="Arial" w:eastAsia="Arial" w:hAnsi="Arial"/>
                <w:color w:val="1C2833"/>
                <w:sz w:val="18"/>
                <w:szCs w:val="18"/>
              </w:rPr>
              <w:t xml:space="preserve">14. World Health Organization. (2020). Managing the COVID-19 Infodemic: Calls for Action. WHO. https://www.who.int/news/item/11-12-2020-managing-the-covid-19-infodemic-calls-for-action-for-governments-cities-businesses-media-and-communities</w:t>
            </w:r>
          </w:p>
          <w:p>
            <w:pPr>
              <w:spacing w:after="50" w:before="50"/>
              <w:ind w:left="500" w:hanging="500"/>
            </w:pPr>
            <w:r>
              <w:rPr>
                <w:rFonts w:ascii="Arial" w:cs="Arial" w:eastAsia="Arial" w:hAnsi="Arial"/>
                <w:color w:val="1C2833"/>
                <w:sz w:val="18"/>
                <w:szCs w:val="18"/>
              </w:rPr>
              <w:t xml:space="preserve">15. World Medical Association. (2013). Declaration of Helsinki. JAMA, 310(20), 2191-2194. https://doi.org/10.1001/jama.2013.281053</w:t>
            </w:r>
          </w:p>
          <w:p>
            <w:pPr>
              <w:spacing w:after="50" w:before="50"/>
              <w:ind w:left="500" w:hanging="500"/>
            </w:pPr>
            <w:r>
              <w:rPr>
                <w:rFonts w:ascii="Arial" w:cs="Arial" w:eastAsia="Arial" w:hAnsi="Arial"/>
                <w:color w:val="1C2833"/>
                <w:sz w:val="18"/>
                <w:szCs w:val="18"/>
              </w:rPr>
              <w:t xml:space="preserve">16. World Medical Association. (2017). Declaration of Geneva. https://www.wma.net/policies-post/wma-declaration-of-geneva/</w:t>
            </w:r>
          </w:p>
        </w:tc>
      </w:tr>
    </w:tbl>
    <w:p>
      <w:r>
        <w:br w:type="page"/>
      </w:r>
    </w:p>
    <w:p>
      <w:pPr>
        <w:pStyle w:val="Heading1"/>
        <w:spacing w:after="220" w:before="440"/>
      </w:pPr>
      <w:r>
        <w:rPr>
          <w:rFonts w:ascii="Arial" w:cs="Arial" w:eastAsia="Arial" w:hAnsi="Arial"/>
          <w:b/>
          <w:bCs/>
          <w:color w:val="1A3A5C"/>
          <w:sz w:val="40"/>
          <w:szCs w:val="40"/>
        </w:rPr>
        <w:t xml:space="preserve">BAB 4: KOMUNIKASI TERAPEUTIK DAN ADAB
DALAM HUBUNGAN DOKTER-PASIEN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A3A5C" w:sz="12"/>
              <w:left w:val="single" w:color="1A3A5C" w:sz="12"/>
              <w:bottom w:val="single" w:color="1A3A5C" w:sz="12"/>
              <w:right w:val="single" w:color="1A3A5C" w:sz="12"/>
            </w:tcBorders>
            <w:shd w:fill="F4F6F7" w:val="clear"/>
            <w:tcMar>
              <w:top w:type="dxa" w:w="180"/>
              <w:left w:type="dxa" w:w="260"/>
              <w:bottom w:type="dxa" w:w="180"/>
              <w:right w:type="dxa" w:w="260"/>
            </w:tcMar>
          </w:tcPr>
          <w:p>
            <w:pPr>
              <w:spacing w:after="120" w:before="0"/>
              <w:jc w:val="center"/>
            </w:pPr>
            <w:r>
              <w:rPr>
                <w:rFonts w:ascii="Arial" w:cs="Arial" w:eastAsia="Arial" w:hAnsi="Arial"/>
                <w:b/>
                <w:bCs/>
                <w:color w:val="1A3A5C"/>
                <w:sz w:val="24"/>
                <w:szCs w:val="24"/>
              </w:rPr>
              <w:t xml:space="preserve">TUJUAN PEMBELAJARAN</w:t>
            </w:r>
          </w:p>
          <w:p>
            <w:pPr>
              <w:spacing w:after="40" w:before="60"/>
            </w:pPr>
            <w:r>
              <w:rPr>
                <w:rFonts w:ascii="Arial" w:cs="Arial" w:eastAsia="Arial" w:hAnsi="Arial"/>
                <w:b/>
                <w:bCs/>
                <w:color w:val="0E7C7B"/>
                <w:sz w:val="20"/>
                <w:szCs w:val="20"/>
              </w:rPr>
              <w:t xml:space="preserve">🎯 Kognitif:</w:t>
            </w:r>
          </w:p>
          <w:p>
            <w:pPr>
              <w:spacing w:after="80" w:before="20"/>
            </w:pPr>
            <w:r>
              <w:rPr>
                <w:rFonts w:ascii="Arial" w:cs="Arial" w:eastAsia="Arial" w:hAnsi="Arial"/>
                <w:color w:val="1C2833"/>
                <w:sz w:val="20"/>
                <w:szCs w:val="20"/>
              </w:rPr>
              <w:t xml:space="preserve">Mahasiswa mampu menjelaskan model Calgary-Cambridge dan protokol SPIKES beserta nilai Islam yang memperkuatnya (qaulan ma'rufan, rifq); mengidentifikasi hambatan komunikasi efektif; serta mendeskripsikan pendekatan komunikasi berbasis GAD-7 untuk pasien dengan kecemasan klinis dan komunikasi adaptif untuk anak, lansia, dan pasien berkebutuhan khusus.</w:t>
            </w:r>
          </w:p>
          <w:p>
            <w:pPr>
              <w:spacing w:after="40" w:before="60"/>
            </w:pPr>
            <w:r>
              <w:rPr>
                <w:rFonts w:ascii="Arial" w:cs="Arial" w:eastAsia="Arial" w:hAnsi="Arial"/>
                <w:b/>
                <w:bCs/>
                <w:color w:val="0E7C7B"/>
                <w:sz w:val="20"/>
                <w:szCs w:val="20"/>
              </w:rPr>
              <w:t xml:space="preserve">🔧 Psikomotor:</w:t>
            </w:r>
          </w:p>
          <w:p>
            <w:pPr>
              <w:spacing w:after="80" w:before="20"/>
            </w:pPr>
            <w:r>
              <w:rPr>
                <w:rFonts w:ascii="Arial" w:cs="Arial" w:eastAsia="Arial" w:hAnsi="Arial"/>
                <w:color w:val="1C2833"/>
                <w:sz w:val="20"/>
                <w:szCs w:val="20"/>
              </w:rPr>
              <w:t xml:space="preserve">Mahasiswa mampu mempraktikkan wawancara klinis berbasis active listening dan Calgary-Cambridge model; mendemonstrasikan protokol SPIKES secara lengkap dalam role-play penyampaian berita buruk; dan mengelola konflik pasien menggunakan prinsip hilm.</w:t>
            </w:r>
          </w:p>
          <w:p>
            <w:pPr>
              <w:spacing w:after="40" w:before="60"/>
            </w:pPr>
            <w:r>
              <w:rPr>
                <w:rFonts w:ascii="Arial" w:cs="Arial" w:eastAsia="Arial" w:hAnsi="Arial"/>
                <w:b/>
                <w:bCs/>
                <w:color w:val="0E7C7B"/>
                <w:sz w:val="20"/>
                <w:szCs w:val="20"/>
              </w:rPr>
              <w:t xml:space="preserve">💡 Afektif:</w:t>
            </w:r>
          </w:p>
          <w:p>
            <w:pPr>
              <w:spacing w:after="40" w:before="20"/>
            </w:pPr>
            <w:r>
              <w:rPr>
                <w:rFonts w:ascii="Arial" w:cs="Arial" w:eastAsia="Arial" w:hAnsi="Arial"/>
                <w:color w:val="1C2833"/>
                <w:sz w:val="20"/>
                <w:szCs w:val="20"/>
              </w:rPr>
              <w:t xml:space="preserve">Mahasiswa mengembangkan kesabaran dan kehadiran penuh (muraqabah) dalam setiap interaksi dengan pasien; menunjukkan penghargaan tulus terhadap narasi pasien sebagai bentuk ihsan; dan membangun kemampuan regulasi emosi (mujahadah an-nafs) dalam situasi klinis yang penuh tekanan.</w:t>
            </w:r>
          </w:p>
        </w:tc>
      </w:tr>
    </w:tbl>
    <w:p>
      <w:pPr>
        <w:spacing w:after="100" w:before="0"/>
      </w:pPr>
      <w:r>
        <w:t xml:space="preserve"/>
      </w:r>
    </w:p>
    <w:p>
      <w:pPr>
        <w:pStyle w:val="Heading2"/>
        <w:spacing w:after="140" w:before="300"/>
      </w:pPr>
      <w:r>
        <w:rPr>
          <w:rFonts w:ascii="Arial" w:cs="Arial" w:eastAsia="Arial" w:hAnsi="Arial"/>
          <w:b/>
          <w:bCs/>
          <w:color w:val="1F5F8B"/>
          <w:sz w:val="30"/>
          <w:szCs w:val="30"/>
        </w:rPr>
        <w:t xml:space="preserve">A. Komunikasi sebagai Instrumen Penyembuhan: Qaulan Ma'rufan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ucapkanlah kepada manusia perkataan yang baik (qaulan ma'rufan)." (QS. Al-Baqarah: 83). Perintah ini berlaku penuh dalam komunikasi klinis: setiap kata dokter kepada pasien harus memenuhi standar qaulan ma'rufan — benar secara substansi, baik secara cara penyampaian, dan tepat secara konteks.</w:t>
            </w:r>
          </w:p>
          <w:p>
            <w:pPr>
              <w:spacing w:after="50" w:before="20"/>
              <w:jc w:val="center"/>
            </w:pPr>
            <w:r>
              <w:rPr>
                <w:rFonts w:ascii="Arial" w:cs="Arial" w:eastAsia="Arial" w:hAnsi="Arial"/>
                <w:color w:val="8B6914"/>
                <w:sz w:val="18"/>
                <w:szCs w:val="18"/>
              </w:rPr>
              <w:t xml:space="preserve">— QS. Al-Baqarah (2): 83</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Komunikasi dalam konteks medis bukan sekadar pertukaran informasi — ia adalah instrumen penyembuhan yang memiliki efek terapeutik tersendiri. Rakel et al. (2009) menemukan bahwa kualitas komunikasi dokter secara signifikan memengaruhi durasi dan keparahan infeksi saluran napas atas pada pasien — bukti bahwa komunikasi memiliki efek biologis nyata melalui jalur neuroendokrin dan imunologis.</w:t>
      </w:r>
    </w:p>
    <w:p>
      <w:pPr>
        <w:spacing w:after="140" w:before="100" w:line="380" w:lineRule="auto"/>
        <w:jc w:val="both"/>
      </w:pPr>
      <w:r>
        <w:rPr>
          <w:rFonts w:ascii="Arial" w:cs="Arial" w:eastAsia="Arial" w:hAnsi="Arial"/>
          <w:color w:val="1C2833"/>
          <w:sz w:val="22"/>
          <w:szCs w:val="22"/>
        </w:rPr>
        <w:t xml:space="preserve">Beckman &amp; Frankel (1984) menemukan bahwa dokter rata-rata menginterupsi pasien hanya 18 detik setelah pasien mulai berbicara. Marvel et al. (1999) membuktikan bahwa ketika pasien dibiarkan berbicara tanpa interupsi, mereka rata-rata selesai dalam 92 detik dan hampir selalu menyampaikan semua informasi klinis yang relevan. Investasi 92 detik mendengarkan tanpa interupsi menghasilkan informasi diagnostik yang jauh lebih lengkap.</w:t>
      </w:r>
    </w:p>
    <w:p>
      <w:pPr>
        <w:spacing w:after="80" w:before="160"/>
        <w:jc w:val="both"/>
      </w:pPr>
      <w:r>
        <w:rPr>
          <w:rFonts w:ascii="Arial" w:cs="Arial" w:eastAsia="Arial" w:hAnsi="Arial"/>
          <w:b/>
          <w:bCs/>
          <w:color w:val="1A3A5C"/>
          <w:sz w:val="22"/>
          <w:szCs w:val="22"/>
        </w:rPr>
        <w:t xml:space="preserve">Model Calgary-Cambridge: Kerangka Komunikasi Klinis Terintegrasi</w:t>
      </w:r>
    </w:p>
    <w:p>
      <w:pPr>
        <w:spacing w:after="140" w:before="100" w:line="380" w:lineRule="auto"/>
        <w:jc w:val="both"/>
      </w:pPr>
      <w:r>
        <w:rPr>
          <w:rFonts w:ascii="Arial" w:cs="Arial" w:eastAsia="Arial" w:hAnsi="Arial"/>
          <w:color w:val="1C2833"/>
          <w:sz w:val="22"/>
          <w:szCs w:val="22"/>
        </w:rPr>
        <w:t xml:space="preserve">Model Calgary-Cambridge (Silverman et al., 2005) mengidentifikasi lima tugas dalam setiap konsultasi klinis: (1) Memulai Konsultasi — membuat koneksi awal, memastikan kenyamanan, dan mendapatkan gambaran awal; (2) Mengumpulkan Informasi — mengeksplorasi perspektif biomedis dan perspektif pasien secara setara; (3) Membangun Hubungan — berjalan paralel sepanjang konsultasi; (4) Penjelasan dan Perencanaan — menyampaikan informasi dengan cara yang dapat dipahami; (5) Menutup Konsultasi — memverifikasi pemahaman dan menyepakati tindak lanjut.</w:t>
      </w:r>
    </w:p>
    <w:p>
      <w:pPr>
        <w:spacing w:after="80" w:before="160"/>
        <w:jc w:val="both"/>
      </w:pPr>
      <w:r>
        <w:rPr>
          <w:rFonts w:ascii="Arial" w:cs="Arial" w:eastAsia="Arial" w:hAnsi="Arial"/>
          <w:b/>
          <w:bCs/>
          <w:color w:val="1A3A5C"/>
          <w:sz w:val="22"/>
          <w:szCs w:val="22"/>
        </w:rPr>
        <w:t xml:space="preserve">Protokol SPIKES untuk Penyampaian Berita Buruk</w:t>
      </w:r>
    </w:p>
    <w:p>
      <w:pPr>
        <w:spacing w:after="140" w:before="100" w:line="380" w:lineRule="auto"/>
        <w:jc w:val="both"/>
      </w:pPr>
      <w:r>
        <w:rPr>
          <w:rFonts w:ascii="Arial" w:cs="Arial" w:eastAsia="Arial" w:hAnsi="Arial"/>
          <w:color w:val="1C2833"/>
          <w:sz w:val="22"/>
          <w:szCs w:val="22"/>
        </w:rPr>
        <w:t xml:space="preserve">Protokol SPIKES (Baile et al., 2000): S (Setting) — siapkan lingkungan privat dan nyaman; P (Perception) — nilai pemahaman pasien saat ini; I (Invitation) — dapatkan izin berbagi informasi; K (Knowledge) — sampaikan informasi secara bertahap dengan bahasa sederhana; E (Emotions) — respons emosi dengan pendekatan NURSE (Naming, Understanding, Respecting, Supporting, Exploring); S (Summary &amp; Strategy) — rangkum dan sepakati langkah selanjutnya. Nabi SAW bersabda bahwa kelembutan (rifq) tidak ada pada sesuatu melainkan menghiasinya (HR. Muslim No. 2594) — prinsip rifq ini langsung relevan dengan cara dokter menyampaikan berita buruk.</w:t>
      </w:r>
    </w:p>
    <w:p>
      <w:pPr>
        <w:pStyle w:val="Heading2"/>
        <w:spacing w:after="140" w:before="300"/>
      </w:pPr>
      <w:r>
        <w:rPr>
          <w:rFonts w:ascii="Arial" w:cs="Arial" w:eastAsia="Arial" w:hAnsi="Arial"/>
          <w:b/>
          <w:bCs/>
          <w:color w:val="1F5F8B"/>
          <w:sz w:val="30"/>
          <w:szCs w:val="30"/>
        </w:rPr>
        <w:t xml:space="preserve">B. Kecemasan Klinis: Memahami, Mengakui, dan Mengelola (GAD-7)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"Ingatlah, hanya dengan mengingat Allah hati menjadi tenteram." (QS. Ar-Ra'd: 28). Bagi pasien Muslim, dokter yang memahami bahwa dzikir dan keimanan dapat menjadi sumber ketenangan psikologis akan lebih mampu mengintegrasikan dukungan spiritual sebagai pelengkap pendekatan klinis berbasis bukti terhadap kecemasan.</w:t>
            </w:r>
          </w:p>
          <w:p>
            <w:pPr>
              <w:spacing w:after="50" w:before="20"/>
              <w:jc w:val="center"/>
            </w:pPr>
            <w:r>
              <w:rPr>
                <w:rFonts w:ascii="Arial" w:cs="Arial" w:eastAsia="Arial" w:hAnsi="Arial"/>
                <w:color w:val="8B6914"/>
                <w:sz w:val="18"/>
                <w:szCs w:val="18"/>
              </w:rPr>
              <w:t xml:space="preserve">— QS. Ar-Ra'd (13): 28</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Dalam DSM-5 (APA, 2013), gangguan kecemasan adalah kelompok gangguan mental paling umum dengan prevalensi seumur hidup sekitar 30%. Instrumen GAD-7 (Spitzer et al., 2006) — tujuh item dengan skor 0-21 — adalah standar skrining kecemasan dalam konteks klinis umum. Skor 5-9: kecemasan ringan; 10-14: sedang; 15-21: berat. Kecemasan yang tidak diakui dan tidak dikelola menghambat proses anamnesis, mengganggu pemahaman tentang rencana perawatan, dan merusak kepatuhan terapi jangka panjang.</w:t>
      </w:r>
    </w:p>
    <w:p>
      <w:pPr>
        <w:spacing w:after="140" w:before="100" w:line="380" w:lineRule="auto"/>
        <w:jc w:val="both"/>
      </w:pPr>
      <w:r>
        <w:rPr>
          <w:rFonts w:ascii="Arial" w:cs="Arial" w:eastAsia="Arial" w:hAnsi="Arial"/>
          <w:color w:val="1C2833"/>
          <w:sz w:val="22"/>
          <w:szCs w:val="22"/>
        </w:rPr>
        <w:t xml:space="preserve">Pendekatan NURSE memberikan kerangka merespons emosi: Naming (beri nama emosi yang tampak), Understanding (ekspresikan pemahaman), Respecting (tunjukkan penghargaan), Supporting (nyatakan dukungan), dan Exploring (eksplorasi kekhawatiran spesifik).</w:t>
      </w:r>
    </w:p>
    <w:p>
      <w:pPr>
        <w:pStyle w:val="Heading2"/>
        <w:spacing w:after="140" w:before="300"/>
      </w:pPr>
      <w:r>
        <w:rPr>
          <w:rFonts w:ascii="Arial" w:cs="Arial" w:eastAsia="Arial" w:hAnsi="Arial"/>
          <w:b/>
          <w:bCs/>
          <w:color w:val="1F5F8B"/>
          <w:sz w:val="30"/>
          <w:szCs w:val="30"/>
        </w:rPr>
        <w:t xml:space="preserve">C. Komunikasi dengan Populasi Khusus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"Bukan termasuk golongan kami orang yang tidak menyayangi yang muda dan tidak menghormati yang tua di antara kami." Hadits ini menegaskan standar diferensial dalam komunikasi: kasih sayang kepada yang muda, penghormatan kepada yang tua.</w:t>
            </w:r>
          </w:p>
          <w:p>
            <w:pPr>
              <w:spacing w:after="50" w:before="20"/>
              <w:jc w:val="center"/>
            </w:pPr>
            <w:r>
              <w:rPr>
                <w:rFonts w:ascii="Arial" w:cs="Arial" w:eastAsia="Arial" w:hAnsi="Arial"/>
                <w:color w:val="8B6914"/>
                <w:sz w:val="18"/>
                <w:szCs w:val="18"/>
              </w:rPr>
              <w:t xml:space="preserve">— HR. al-Tirmidzi No. 1919; dinilai hasan shahih</w:t>
            </w:r>
          </w:p>
        </w:tc>
      </w:tr>
    </w:tbl>
    <w:p>
      <w:pPr>
        <w:spacing w:after="100" w:before="0"/>
      </w:pPr>
      <w:r>
        <w:t xml:space="preserve"/>
      </w:r>
    </w:p>
    <w:p>
      <w:pPr>
        <w:spacing w:after="80" w:before="160"/>
        <w:jc w:val="both"/>
      </w:pPr>
      <w:r>
        <w:rPr>
          <w:rFonts w:ascii="Arial" w:cs="Arial" w:eastAsia="Arial" w:hAnsi="Arial"/>
          <w:b/>
          <w:bCs/>
          <w:color w:val="1A3A5C"/>
          <w:sz w:val="22"/>
          <w:szCs w:val="22"/>
        </w:rPr>
        <w:t xml:space="preserve">Pasien Anak: Memahami Tahapan Perkembangan</w:t>
      </w:r>
    </w:p>
    <w:p>
      <w:pPr>
        <w:spacing w:after="140" w:before="100" w:line="380" w:lineRule="auto"/>
        <w:jc w:val="both"/>
      </w:pPr>
      <w:r>
        <w:rPr>
          <w:rFonts w:ascii="Arial" w:cs="Arial" w:eastAsia="Arial" w:hAnsi="Arial"/>
          <w:color w:val="1C2833"/>
          <w:sz w:val="22"/>
          <w:szCs w:val="22"/>
        </w:rPr>
        <w:t xml:space="preserve">Komunikasi dengan anak harus disesuaikan dengan tahap perkembangan kognitif (Piaget, 1952) dan psikososial (Erikson, 1950). Anak pra-operasional (2-7 tahun) memerlukan bahasa sangat konkret. Anak operasional konkret (7-11 tahun) dapat memahami hubungan sebab-akibat sederhana. Remaja (12-18 tahun) memiliki kemampuan kognitif setara dewasa tetapi membutuhkan penghormatan atas otonomi dan privasi. Berbicara langsung kepada anak — bukan hanya kepada orang tuanya — adalah bentuk penghormatan martabat.</w:t>
      </w:r>
    </w:p>
    <w:p>
      <w:pPr>
        <w:spacing w:after="80" w:before="160"/>
        <w:jc w:val="both"/>
      </w:pPr>
      <w:r>
        <w:rPr>
          <w:rFonts w:ascii="Arial" w:cs="Arial" w:eastAsia="Arial" w:hAnsi="Arial"/>
          <w:b/>
          <w:bCs/>
          <w:color w:val="1A3A5C"/>
          <w:sz w:val="22"/>
          <w:szCs w:val="22"/>
        </w:rPr>
        <w:t xml:space="preserve">Pasien Lansia: Menghormati dan Mengakomodasi</w:t>
      </w:r>
    </w:p>
    <w:p>
      <w:pPr>
        <w:spacing w:after="140" w:before="100" w:line="380" w:lineRule="auto"/>
        <w:jc w:val="both"/>
      </w:pPr>
      <w:r>
        <w:rPr>
          <w:rFonts w:ascii="Arial" w:cs="Arial" w:eastAsia="Arial" w:hAnsi="Arial"/>
          <w:color w:val="1C2833"/>
          <w:sz w:val="22"/>
          <w:szCs w:val="22"/>
        </w:rPr>
        <w:t xml:space="preserve">Pertimbangkan: kemungkinan gangguan pendengaran dan penglihatan, pemrosesan informasi lebih lambat, multimorbiditas dan polifarmasi kompleks. Universal design dalam komunikasi — berbicara jelas dan lambat, bahasa sederhana, ringkasan tertulis, pengecekan pemahaman reguler — membantu semua pasien. Waspada terhadap ageism: berbicara kepada pengantar alih-alih langsung kepada pasien lansia adalah bentuk pengabaian martabat yang bertentangan dengan nilai penghormatan Islam terhadap orang tua dan lansia.</w:t>
      </w:r>
    </w:p>
    <w:p>
      <w:pPr>
        <w:spacing w:after="80" w:before="160"/>
        <w:jc w:val="both"/>
      </w:pPr>
      <w:r>
        <w:rPr>
          <w:rFonts w:ascii="Arial" w:cs="Arial" w:eastAsia="Arial" w:hAnsi="Arial"/>
          <w:b/>
          <w:bCs/>
          <w:color w:val="1A3A5C"/>
          <w:sz w:val="22"/>
          <w:szCs w:val="22"/>
        </w:rPr>
        <w:t xml:space="preserve">Pasien Berkebutuhan Khusus</w:t>
      </w:r>
    </w:p>
    <w:p>
      <w:pPr>
        <w:spacing w:after="140" w:before="100" w:line="380" w:lineRule="auto"/>
        <w:jc w:val="both"/>
      </w:pPr>
      <w:r>
        <w:rPr>
          <w:rFonts w:ascii="Arial" w:cs="Arial" w:eastAsia="Arial" w:hAnsi="Arial"/>
          <w:color w:val="1C2833"/>
          <w:sz w:val="22"/>
          <w:szCs w:val="22"/>
        </w:rPr>
        <w:t xml:space="preserve">Pasien dengan disabilitas berhak mendapat informasi dalam format yang dapat mereka akses: penerjemah bahasa isyarat untuk pasien tuli, gambar atau model untuk pasien dengan keterbatasan literasi, adaptasi teknik konsultasi untuk pasien dengan Autism Spectrum Disorder. Universal design dalam komunikasi meningkatkan kualitas interaksi dengan seluruh pasien.</w:t>
      </w:r>
    </w:p>
    <w:p>
      <w:pPr>
        <w:pStyle w:val="Heading2"/>
        <w:spacing w:after="140" w:before="300"/>
      </w:pPr>
      <w:r>
        <w:rPr>
          <w:rFonts w:ascii="Arial" w:cs="Arial" w:eastAsia="Arial" w:hAnsi="Arial"/>
          <w:b/>
          <w:bCs/>
          <w:color w:val="1F5F8B"/>
          <w:sz w:val="30"/>
          <w:szCs w:val="30"/>
        </w:rPr>
        <w:t xml:space="preserve">D. Kedokteran Naratif: Mendengarkan sebagai Bentuk Ihsan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"Sesungguhnya Allah mewajibkan ihsan dalam segala sesuatu." (HR. Muslim No. 1955). Mendengarkan pasien dengan penuh perhatian dan kehadiran total adalah salah satu bentuk ihsan paling konkret yang dapat diberikan dokter dalam setiap interaksi klinis.</w:t>
            </w:r>
          </w:p>
          <w:p>
            <w:pPr>
              <w:spacing w:after="50" w:before="20"/>
              <w:jc w:val="center"/>
            </w:pPr>
            <w:r>
              <w:rPr>
                <w:rFonts w:ascii="Arial" w:cs="Arial" w:eastAsia="Arial" w:hAnsi="Arial"/>
                <w:color w:val="8B6914"/>
                <w:sz w:val="18"/>
                <w:szCs w:val="18"/>
              </w:rPr>
              <w:t xml:space="preserve">— HR. Muslim, Shahih Muslim No. 1955</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Rita Charon (2001) mengembangkan Narrative Medicine sebagai respons terhadap krisis mendengarkan dalam kedokteran modern. Ia mengidentifikasi tiga kompetensi naratif: Attenzione (perhatian penuh terhadap semua aspek cerita pasien), Rappresentazione (merepresentasikan pemahaman tentang cerita pasien), dan Affiliazione (pengakuan atas hubungan terapeutik dan tanggung jawab moral yang menyertainya). Praktik parallel charts — menulis refleksi naratif di samping rekam medis formal — terbukti mengurangi burnout dan meningkatkan empati klinis.</w:t>
      </w:r>
    </w:p>
    <w:p>
      <w:pPr>
        <w:pStyle w:val="Heading2"/>
        <w:spacing w:after="140" w:before="300"/>
      </w:pPr>
      <w:r>
        <w:rPr>
          <w:rFonts w:ascii="Arial" w:cs="Arial" w:eastAsia="Arial" w:hAnsi="Arial"/>
          <w:b/>
          <w:bCs/>
          <w:color w:val="1F5F8B"/>
          <w:sz w:val="30"/>
          <w:szCs w:val="30"/>
        </w:rPr>
        <w:t xml:space="preserve">E. Manajemen Konflik dan Keluhan Pasien dengan Akhlak Hilm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orang-orang yang menahan amarahnya dan memaafkan (kesalahan) orang lain. Dan Allah menyukai orang-orang yang berbuat kebaikan." (QS. Ali 'Imran: 134). Hilm — kesabaran dan kemampuan menahan amarah — adalah akhlak yang sangat relevan ketika dokter berhadapan dengan pasien atau keluarga yang marah atau kecewa.</w:t>
            </w:r>
          </w:p>
          <w:p>
            <w:pPr>
              <w:spacing w:after="50" w:before="20"/>
              <w:jc w:val="center"/>
            </w:pPr>
            <w:r>
              <w:rPr>
                <w:rFonts w:ascii="Arial" w:cs="Arial" w:eastAsia="Arial" w:hAnsi="Arial"/>
                <w:color w:val="8B6914"/>
                <w:sz w:val="18"/>
                <w:szCs w:val="18"/>
              </w:rPr>
              <w:t xml:space="preserve">— QS. Ali 'Imran (3): 134</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Levinson et al. (1997) membuktikan bahwa keluhan malpraktik sebagian besar berasal bukan dari hasil medis yang buruk, melainkan dari kegagalan komunikasi — pasien yang merasa tidak didengar, tidak dihormati, atau tidak mendapat penjelasan memadai. Protokol TEAM untuk menangani keluhan: Thank (berterima kasih karena pasien menyampaikan langsung), Empathize (akui perasaan pasien), Apologize (sampaikan permintaan maaf yang tulus), dan Make it right (tawarkan tindakan konkret).</w:t>
      </w:r>
    </w:p>
    <w:p>
      <w:pPr>
        <w:pStyle w:val="Heading2"/>
        <w:spacing w:after="140" w:before="300"/>
      </w:pPr>
      <w:r>
        <w:rPr>
          <w:rFonts w:ascii="Arial" w:cs="Arial" w:eastAsia="Arial" w:hAnsi="Arial"/>
          <w:b/>
          <w:bCs/>
          <w:color w:val="1F5F8B"/>
          <w:sz w:val="30"/>
          <w:szCs w:val="30"/>
        </w:rPr>
        <w:t xml:space="preserve">F. Komunikasi Lintas Budaya dalam Praktik Multikultural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"Wahai manusia, sesungguhnya Kami menciptakan kalian dari seorang laki-laki dan perempuan, dan menjadikan kalian berbangsa-bangsa dan bersuku-suku agar kalian saling mengenal." (QS. Al-Hujurat: 49). Keragaman budaya adalah kehendak Allah sebagai arena ta'aruf.</w:t>
            </w:r>
          </w:p>
          <w:p>
            <w:pPr>
              <w:spacing w:after="50" w:before="20"/>
              <w:jc w:val="center"/>
            </w:pPr>
            <w:r>
              <w:rPr>
                <w:rFonts w:ascii="Arial" w:cs="Arial" w:eastAsia="Arial" w:hAnsi="Arial"/>
                <w:color w:val="8B6914"/>
                <w:sz w:val="18"/>
                <w:szCs w:val="18"/>
              </w:rPr>
              <w:t xml:space="preserve">— QS. Al-Hujurat (49): 13</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Hofstede (1980) mengidentifikasi dimensi budaya yang relevan untuk komunikasi klinis, termasuk Power Distance dan Individualism vs. Collectivism. Indonesia memiliki skor power distance yang relatif tinggi: pasien cenderung tidak menantang otoritas dokter dan sulit mengekspresikan penolakan secara langsung. Dalam budaya kolektivistik, keputusan perawatan melibatkan konsultasi keluarga. Menghormati proses ini — memberikan waktu dan ruang bagi pasien bermusyawarah dengan keluarga — adalah kompetensi budaya yang penting dan selaras dengan prinsip syura Islam.</w:t>
      </w:r>
    </w:p>
    <w:p>
      <w:pPr>
        <w:spacing w:after="100" w:before="0"/>
      </w:pPr>
      <w:r>
        <w:t xml:space="preserve"/>
      </w:r>
    </w:p>
    <w:p>
      <w:pPr>
        <w:spacing w:after="80" w:before="160"/>
        <w:jc w:val="both"/>
      </w:pPr>
      <w:r>
        <w:rPr>
          <w:rFonts w:ascii="Arial" w:cs="Arial" w:eastAsia="Arial" w:hAnsi="Arial"/>
          <w:b/>
          <w:bCs/>
          <w:color w:val="1A3A5C"/>
          <w:sz w:val="22"/>
          <w:szCs w:val="22"/>
        </w:rPr>
        <w:t xml:space="preserve">DAFTAR REFERENSI BAB 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C3C7" w:sz="6"/>
              <w:left w:val="single" w:color="BDC3C7" w:sz="6"/>
              <w:bottom w:val="single" w:color="BDC3C7" w:sz="6"/>
              <w:right w:val="single" w:color="BDC3C7" w:sz="6"/>
            </w:tcBorders>
            <w:shd w:fill="F8F9FA" w:val="clear"/>
            <w:tcMar>
              <w:top w:type="dxa" w:w="180"/>
              <w:left w:type="dxa" w:w="240"/>
              <w:bottom w:type="dxa" w:w="180"/>
              <w:right w:type="dxa" w:w="240"/>
            </w:tcMar>
          </w:tcPr>
          <w:p>
            <w:pPr>
              <w:spacing w:after="50" w:before="50"/>
              <w:ind w:left="500" w:hanging="500"/>
            </w:pPr>
            <w:r>
              <w:rPr>
                <w:rFonts w:ascii="Arial" w:cs="Arial" w:eastAsia="Arial" w:hAnsi="Arial"/>
                <w:color w:val="1C2833"/>
                <w:sz w:val="18"/>
                <w:szCs w:val="18"/>
              </w:rPr>
              <w:t xml:space="preserve">1. American Psychiatric Association. (2013). Diagnostic and Statistical Manual of Mental Disorders (5th ed.). APA. https://doi.org/10.1176/appi.books.9780890425596</w:t>
            </w:r>
          </w:p>
          <w:p>
            <w:pPr>
              <w:spacing w:after="50" w:before="50"/>
              <w:ind w:left="500" w:hanging="500"/>
            </w:pPr>
            <w:r>
              <w:rPr>
                <w:rFonts w:ascii="Arial" w:cs="Arial" w:eastAsia="Arial" w:hAnsi="Arial"/>
                <w:color w:val="1C2833"/>
                <w:sz w:val="18"/>
                <w:szCs w:val="18"/>
              </w:rPr>
              <w:t xml:space="preserve">2. Baile, W. F., Buckman, R., Lenzi, R., Glober, G., Beale, E. A., &amp; Kudelka, A. P. (2000). SPIKES—A six-step protocol for delivering bad news. The Oncologist, 5(4), 302-311. https://doi.org/10.1634/theoncologist.5-4-302</w:t>
            </w:r>
          </w:p>
          <w:p>
            <w:pPr>
              <w:spacing w:after="50" w:before="50"/>
              <w:ind w:left="500" w:hanging="500"/>
            </w:pPr>
            <w:r>
              <w:rPr>
                <w:rFonts w:ascii="Arial" w:cs="Arial" w:eastAsia="Arial" w:hAnsi="Arial"/>
                <w:color w:val="1C2833"/>
                <w:sz w:val="18"/>
                <w:szCs w:val="18"/>
              </w:rPr>
              <w:t xml:space="preserve">3. Beckman, H. B., &amp; Frankel, R. M. (1984). The effect of physician behavior on the collection of data. Annals of Internal Medicine, 101(5), 692-696. https://doi.org/10.7326/0003-4819-101-5-692</w:t>
            </w:r>
          </w:p>
          <w:p>
            <w:pPr>
              <w:spacing w:after="50" w:before="50"/>
              <w:ind w:left="500" w:hanging="500"/>
            </w:pPr>
            <w:r>
              <w:rPr>
                <w:rFonts w:ascii="Arial" w:cs="Arial" w:eastAsia="Arial" w:hAnsi="Arial"/>
                <w:color w:val="1C2833"/>
                <w:sz w:val="18"/>
                <w:szCs w:val="18"/>
              </w:rPr>
              <w:t xml:space="preserve">4. Charon, R. (2001). Narrative medicine: A model for empathy, reflection, profession, and trust. JAMA, 286(15), 1897-1902. https://doi.org/10.1001/jama.286.15.1897</w:t>
            </w:r>
          </w:p>
          <w:p>
            <w:pPr>
              <w:spacing w:after="50" w:before="50"/>
              <w:ind w:left="500" w:hanging="500"/>
            </w:pPr>
            <w:r>
              <w:rPr>
                <w:rFonts w:ascii="Arial" w:cs="Arial" w:eastAsia="Arial" w:hAnsi="Arial"/>
                <w:color w:val="1C2833"/>
                <w:sz w:val="18"/>
                <w:szCs w:val="18"/>
              </w:rPr>
              <w:t xml:space="preserve">5. Erikson, E. H. (1950). Childhood and Society. W. W. Norton.</w:t>
            </w:r>
          </w:p>
          <w:p>
            <w:pPr>
              <w:spacing w:after="50" w:before="50"/>
              <w:ind w:left="500" w:hanging="500"/>
            </w:pPr>
            <w:r>
              <w:rPr>
                <w:rFonts w:ascii="Arial" w:cs="Arial" w:eastAsia="Arial" w:hAnsi="Arial"/>
                <w:color w:val="1C2833"/>
                <w:sz w:val="18"/>
                <w:szCs w:val="18"/>
              </w:rPr>
              <w:t xml:space="preserve">6. Hofstede, G. (1980). Culture's Consequences: International Differences in Work-Related Values. Sage.</w:t>
            </w:r>
          </w:p>
          <w:p>
            <w:pPr>
              <w:spacing w:after="50" w:before="50"/>
              <w:ind w:left="500" w:hanging="500"/>
            </w:pPr>
            <w:r>
              <w:rPr>
                <w:rFonts w:ascii="Arial" w:cs="Arial" w:eastAsia="Arial" w:hAnsi="Arial"/>
                <w:color w:val="1C2833"/>
                <w:sz w:val="18"/>
                <w:szCs w:val="18"/>
              </w:rPr>
              <w:t xml:space="preserve">7. Levinson, W., Roter, D. L., Mullooly, J. P., Dull, V. T., &amp; Frankel, R. M. (1997). Physician-patient communication: The relationship with malpractice claims. JAMA, 277(7), 553-559. https://doi.org/10.1001/jama.1997.03540310051032</w:t>
            </w:r>
          </w:p>
          <w:p>
            <w:pPr>
              <w:spacing w:after="50" w:before="50"/>
              <w:ind w:left="500" w:hanging="500"/>
            </w:pPr>
            <w:r>
              <w:rPr>
                <w:rFonts w:ascii="Arial" w:cs="Arial" w:eastAsia="Arial" w:hAnsi="Arial"/>
                <w:color w:val="1C2833"/>
                <w:sz w:val="18"/>
                <w:szCs w:val="18"/>
              </w:rPr>
              <w:t xml:space="preserve">8. Marvel, M. K., Epstein, R. M., Flowers, K., &amp; Beckman, H. B. (1999). Soliciting the patient's agenda. JAMA, 281(3), 283-287. https://doi.org/10.1001/jama.281.3.283</w:t>
            </w:r>
          </w:p>
          <w:p>
            <w:pPr>
              <w:spacing w:after="50" w:before="50"/>
              <w:ind w:left="500" w:hanging="500"/>
            </w:pPr>
            <w:r>
              <w:rPr>
                <w:rFonts w:ascii="Arial" w:cs="Arial" w:eastAsia="Arial" w:hAnsi="Arial"/>
                <w:color w:val="1C2833"/>
                <w:sz w:val="18"/>
                <w:szCs w:val="18"/>
              </w:rPr>
              <w:t xml:space="preserve">9. Piaget, J. (1952). The Origins of Intelligence in Children. International Universities Press.</w:t>
            </w:r>
          </w:p>
          <w:p>
            <w:pPr>
              <w:spacing w:after="50" w:before="50"/>
              <w:ind w:left="500" w:hanging="500"/>
            </w:pPr>
            <w:r>
              <w:rPr>
                <w:rFonts w:ascii="Arial" w:cs="Arial" w:eastAsia="Arial" w:hAnsi="Arial"/>
                <w:color w:val="1C2833"/>
                <w:sz w:val="18"/>
                <w:szCs w:val="18"/>
              </w:rPr>
              <w:t xml:space="preserve">10. Rakel, D. P., Hoeft, T. J., Barrett, B. P., Chewning, B. A., Craig, B. M., &amp; Niu, M. (2009). Practitioner empathy and the duration of the common cold. Family Medicine, 41(7), 494-501. PMID: 19582635</w:t>
            </w:r>
          </w:p>
          <w:p>
            <w:pPr>
              <w:spacing w:after="50" w:before="50"/>
              <w:ind w:left="500" w:hanging="500"/>
            </w:pPr>
            <w:r>
              <w:rPr>
                <w:rFonts w:ascii="Arial" w:cs="Arial" w:eastAsia="Arial" w:hAnsi="Arial"/>
                <w:color w:val="1C2833"/>
                <w:sz w:val="18"/>
                <w:szCs w:val="18"/>
              </w:rPr>
              <w:t xml:space="preserve">11. Silverman, J., Kurtz, S., &amp; Draper, J. (2005). Skills for Communicating with Patients (2nd ed.). Radcliffe Publishing.</w:t>
            </w:r>
          </w:p>
          <w:p>
            <w:pPr>
              <w:spacing w:after="50" w:before="50"/>
              <w:ind w:left="500" w:hanging="500"/>
            </w:pPr>
            <w:r>
              <w:rPr>
                <w:rFonts w:ascii="Arial" w:cs="Arial" w:eastAsia="Arial" w:hAnsi="Arial"/>
                <w:color w:val="1C2833"/>
                <w:sz w:val="18"/>
                <w:szCs w:val="18"/>
              </w:rPr>
              <w:t xml:space="preserve">12. Spitzer, R. L., Kroenke, K., Williams, J. B. W., &amp; Löwe, B. (2006). A brief measure for assessing generalized anxiety disorder: The GAD-7. Archives of Internal Medicine, 166(10), 1092-1097. https://doi.org/10.1001/archinte.166.10.1092</w:t>
            </w:r>
          </w:p>
        </w:tc>
      </w:tr>
    </w:tbl>
    <w:p>
      <w:r>
        <w:br w:type="page"/>
      </w:r>
    </w:p>
    <w:p>
      <w:pPr>
        <w:pStyle w:val="Heading1"/>
        <w:spacing w:after="220" w:before="440"/>
      </w:pPr>
      <w:r>
        <w:rPr>
          <w:rFonts w:ascii="Arial" w:cs="Arial" w:eastAsia="Arial" w:hAnsi="Arial"/>
          <w:b/>
          <w:bCs/>
          <w:color w:val="1A3A5C"/>
          <w:sz w:val="40"/>
          <w:szCs w:val="40"/>
        </w:rPr>
        <w:t xml:space="preserve">BAB 5: PERSON-CENTERED CARE DAN RAHMATAN LIL 'ALAMIN
DALAM PRAKTIK KLINIS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A3A5C" w:sz="12"/>
              <w:left w:val="single" w:color="1A3A5C" w:sz="12"/>
              <w:bottom w:val="single" w:color="1A3A5C" w:sz="12"/>
              <w:right w:val="single" w:color="1A3A5C" w:sz="12"/>
            </w:tcBorders>
            <w:shd w:fill="F4F6F7" w:val="clear"/>
            <w:tcMar>
              <w:top w:type="dxa" w:w="180"/>
              <w:left w:type="dxa" w:w="260"/>
              <w:bottom w:type="dxa" w:w="180"/>
              <w:right w:type="dxa" w:w="260"/>
            </w:tcMar>
          </w:tcPr>
          <w:p>
            <w:pPr>
              <w:spacing w:after="120" w:before="0"/>
              <w:jc w:val="center"/>
            </w:pPr>
            <w:r>
              <w:rPr>
                <w:rFonts w:ascii="Arial" w:cs="Arial" w:eastAsia="Arial" w:hAnsi="Arial"/>
                <w:b/>
                <w:bCs/>
                <w:color w:val="1A3A5C"/>
                <w:sz w:val="24"/>
                <w:szCs w:val="24"/>
              </w:rPr>
              <w:t xml:space="preserve">TUJUAN PEMBELAJARAN</w:t>
            </w:r>
          </w:p>
          <w:p>
            <w:pPr>
              <w:spacing w:after="40" w:before="60"/>
            </w:pPr>
            <w:r>
              <w:rPr>
                <w:rFonts w:ascii="Arial" w:cs="Arial" w:eastAsia="Arial" w:hAnsi="Arial"/>
                <w:b/>
                <w:bCs/>
                <w:color w:val="0E7C7B"/>
                <w:sz w:val="20"/>
                <w:szCs w:val="20"/>
              </w:rPr>
              <w:t xml:space="preserve">🎯 Kognitif:</w:t>
            </w:r>
          </w:p>
          <w:p>
            <w:pPr>
              <w:spacing w:after="80" w:before="20"/>
            </w:pPr>
            <w:r>
              <w:rPr>
                <w:rFonts w:ascii="Arial" w:cs="Arial" w:eastAsia="Arial" w:hAnsi="Arial"/>
                <w:color w:val="1C2833"/>
                <w:sz w:val="20"/>
                <w:szCs w:val="20"/>
              </w:rPr>
              <w:t xml:space="preserve">Mahasiswa mampu menjelaskan lima dimensi Person-Centered Care (Mead &amp; Bower, 2000) dan kaitannya dengan rahmatan lil 'alamin; mengidentifikasi determinan sosial kesehatan dan dampaknya di Indonesia berdasarkan Riskesdas 2018 dan Profil Kesehatan Indonesia 2021; serta menganalisis tantangan multimorbiditas dalam pendekatan holistik.</w:t>
            </w:r>
          </w:p>
          <w:p>
            <w:pPr>
              <w:spacing w:after="40" w:before="60"/>
            </w:pPr>
            <w:r>
              <w:rPr>
                <w:rFonts w:ascii="Arial" w:cs="Arial" w:eastAsia="Arial" w:hAnsi="Arial"/>
                <w:b/>
                <w:bCs/>
                <w:color w:val="0E7C7B"/>
                <w:sz w:val="20"/>
                <w:szCs w:val="20"/>
              </w:rPr>
              <w:t xml:space="preserve">🔧 Psikomotor:</w:t>
            </w:r>
          </w:p>
          <w:p>
            <w:pPr>
              <w:spacing w:after="80" w:before="20"/>
            </w:pPr>
            <w:r>
              <w:rPr>
                <w:rFonts w:ascii="Arial" w:cs="Arial" w:eastAsia="Arial" w:hAnsi="Arial"/>
                <w:color w:val="1C2833"/>
                <w:sz w:val="20"/>
                <w:szCs w:val="20"/>
              </w:rPr>
              <w:t xml:space="preserve">Mahasiswa mampu menerapkan prinsip PCC dan Shared Decision-Making dalam perancangan rencana perawatan; mengintegrasikan pemahaman determinan sosial dengan prinsip keadilan ('adl) Islam; melakukan skrining PHQ-9 dan GAD-7 dalam konteks klinis; serta mempraktikkan muhasabah sebagai refleksi diri profesional.</w:t>
            </w:r>
          </w:p>
          <w:p>
            <w:pPr>
              <w:spacing w:after="40" w:before="60"/>
            </w:pPr>
            <w:r>
              <w:rPr>
                <w:rFonts w:ascii="Arial" w:cs="Arial" w:eastAsia="Arial" w:hAnsi="Arial"/>
                <w:b/>
                <w:bCs/>
                <w:color w:val="0E7C7B"/>
                <w:sz w:val="20"/>
                <w:szCs w:val="20"/>
              </w:rPr>
              <w:t xml:space="preserve">💡 Afektif:</w:t>
            </w:r>
          </w:p>
          <w:p>
            <w:pPr>
              <w:spacing w:after="40" w:before="20"/>
            </w:pPr>
            <w:r>
              <w:rPr>
                <w:rFonts w:ascii="Arial" w:cs="Arial" w:eastAsia="Arial" w:hAnsi="Arial"/>
                <w:color w:val="1C2833"/>
                <w:sz w:val="20"/>
                <w:szCs w:val="20"/>
              </w:rPr>
              <w:t xml:space="preserve">Mahasiswa menunjukkan kepedulian terhadap kesetaraan akses layanan kesehatan sebagai manifestasi keadilan Islam; mengembangkan komitmen memperlakukan setiap pasien sebagai individu yang unik dan bermartabat; dan membangun kebiasaan muhasabah terhadap praktik klinis.</w:t>
            </w:r>
          </w:p>
        </w:tc>
      </w:tr>
    </w:tbl>
    <w:p>
      <w:pPr>
        <w:spacing w:after="100" w:before="0"/>
      </w:pPr>
      <w:r>
        <w:t xml:space="preserve"/>
      </w:r>
    </w:p>
    <w:p>
      <w:pPr>
        <w:pStyle w:val="Heading2"/>
        <w:spacing w:after="140" w:before="300"/>
      </w:pPr>
      <w:r>
        <w:rPr>
          <w:rFonts w:ascii="Arial" w:cs="Arial" w:eastAsia="Arial" w:hAnsi="Arial"/>
          <w:b/>
          <w:bCs/>
          <w:color w:val="1F5F8B"/>
          <w:sz w:val="30"/>
          <w:szCs w:val="30"/>
        </w:rPr>
        <w:t xml:space="preserve">A. Person-Centered Care dan Prinsip Rahmah dalam Islam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tidaklah Kami mengutus engkau (Muhammad) melainkan untuk menjadi rahmat bagi seluruh alam." (QS. Al-Anbiya: 107). Konsep rahmatan lil 'alamin memberikan landasan teologis yang sangat kuat bagi Person-Centered Care: setiap pasien tanpa memandang agama, suku, atau status sosial berhak mendapatkan perawatan yang penuh kasih sayang.</w:t>
            </w:r>
          </w:p>
          <w:p>
            <w:pPr>
              <w:spacing w:after="50" w:before="20"/>
              <w:jc w:val="center"/>
            </w:pPr>
            <w:r>
              <w:rPr>
                <w:rFonts w:ascii="Arial" w:cs="Arial" w:eastAsia="Arial" w:hAnsi="Arial"/>
                <w:color w:val="8B6914"/>
                <w:sz w:val="18"/>
                <w:szCs w:val="18"/>
              </w:rPr>
              <w:t xml:space="preserve">— QS. Al-Anbiya (21): 107</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Person-Centered Care (PCC) merepresentasikan pergeseran paradigma fundamental dari model doctor-knows-best menuju kolaborasi sejati. Mead &amp; Bower (2000) dalam Social Science &amp; Medicine mengidentifikasi lima dimensi PCC: (1) perspektif biopsikososial integratif, (2) memahami pasien sebagai manusia seutuhnya, (3) berbagi kekuasaan dan tanggung jawab, (4) membangun aliansi terapeutik berbasis kepercayaan, dan (5) dokter sebagai pribadi yang utuh. Institute of Medicine (2001) dalam Crossing the Quality Chasm mendefinisikan patient-centeredness sebagai salah satu dari enam dimensi kualitas perawatan kesehatan yang harus dicapai.</w:t>
      </w:r>
    </w:p>
    <w:p>
      <w:pPr>
        <w:spacing w:after="80" w:before="160"/>
        <w:jc w:val="both"/>
      </w:pPr>
      <w:r>
        <w:rPr>
          <w:rFonts w:ascii="Arial" w:cs="Arial" w:eastAsia="Arial" w:hAnsi="Arial"/>
          <w:b/>
          <w:bCs/>
          <w:color w:val="1A3A5C"/>
          <w:sz w:val="22"/>
          <w:szCs w:val="22"/>
        </w:rPr>
        <w:t xml:space="preserve">Shared Decision-Making: Syura dalam Konteks Klinis</w:t>
      </w:r>
    </w:p>
    <w:p>
      <w:pPr>
        <w:spacing w:after="140" w:before="100" w:line="380" w:lineRule="auto"/>
        <w:jc w:val="both"/>
      </w:pPr>
      <w:r>
        <w:rPr>
          <w:rFonts w:ascii="Arial" w:cs="Arial" w:eastAsia="Arial" w:hAnsi="Arial"/>
          <w:color w:val="1C2833"/>
          <w:sz w:val="22"/>
          <w:szCs w:val="22"/>
        </w:rPr>
        <w:t xml:space="preserve">Elwyn et al. (2012) mendefinisikan Shared Decision-Making (SDM) sebagai proses di mana dokter dan pasien bersama-sama mempertimbangkan bukti klinis, nilai pasien, dan konteks kehidupan untuk menghasilkan keputusan perawatan yang paling sesuai. SDM sangat relevan dalam 'preference-sensitive conditions': pemilihan antara terapi konservatif dan intervensi bedah, modalitas dialisis, atau keputusan perawatan akhir kehidupan. Prinsip syura (QS. Asy-Syura: 38) memberikan landasan teologis yang kuat: keputusan penting sebaiknya melibatkan dialog, bukan otoritas sepihak.</w:t>
      </w:r>
    </w:p>
    <w:p>
      <w:pPr>
        <w:pStyle w:val="Heading2"/>
        <w:spacing w:after="140" w:before="300"/>
      </w:pPr>
      <w:r>
        <w:rPr>
          <w:rFonts w:ascii="Arial" w:cs="Arial" w:eastAsia="Arial" w:hAnsi="Arial"/>
          <w:b/>
          <w:bCs/>
          <w:color w:val="1F5F8B"/>
          <w:sz w:val="30"/>
          <w:szCs w:val="30"/>
        </w:rPr>
        <w:t xml:space="preserve">B. Determinan Sosial Kesehatan dan Keadilan ('Adl) di Indonesia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"Sesungguhnya Allah menyuruh berbuat adil dan ihsan." (QS. An-Nahl: 90). Keadilan dalam distribusi akses kesehatan adalah kewajiban teologis yang menuntut respons aktif dari dokter sebagai agen perubahan sosial.</w:t>
            </w:r>
          </w:p>
          <w:p>
            <w:pPr>
              <w:spacing w:after="50" w:before="20"/>
              <w:jc w:val="center"/>
            </w:pPr>
            <w:r>
              <w:rPr>
                <w:rFonts w:ascii="Arial" w:cs="Arial" w:eastAsia="Arial" w:hAnsi="Arial"/>
                <w:color w:val="8B6914"/>
                <w:sz w:val="18"/>
                <w:szCs w:val="18"/>
              </w:rPr>
              <w:t xml:space="preserve">— QS. An-Nahl (16): 90</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WHO melalui Commission on Social Determinants of Health (CSDH, 2008) mendefinisikan determinan sosial kesehatan sebagai kondisi-kondisi di mana orang dilahirkan, tumbuh, bekerja, hidup, dan menua. Faktor-faktor ini — pendapatan, pendidikan, pekerjaan, perumahan, akses makanan bergizi, kohesi sosial — secara konsisten terbukti memiliki pengaruh lebih besar terhadap kesehatan dibandingkan akses terhadap layanan medis.</w:t>
      </w:r>
    </w:p>
    <w:p>
      <w:pPr>
        <w:spacing w:after="140" w:before="100" w:line="380" w:lineRule="auto"/>
        <w:jc w:val="both"/>
      </w:pPr>
      <w:r>
        <w:rPr>
          <w:rFonts w:ascii="Arial" w:cs="Arial" w:eastAsia="Arial" w:hAnsi="Arial"/>
          <w:color w:val="1C2833"/>
          <w:sz w:val="22"/>
          <w:szCs w:val="22"/>
        </w:rPr>
        <w:t xml:space="preserve">Data Riskesdas 2018 dan Profil Kesehatan Indonesia 2021 (Kemenkes RI) menunjukkan disparitas yang masih sangat besar: Angka Kematian Ibu di beberapa kabupaten di Papua Pegunungan jauh melampaui rata-rata nasional; prevalensi stunting di NTT dan NTB jauh lebih tinggi dari kota besar. Ini bukan karena masyarakat di daerah tersebut kurang peduli kesehatan, melainkan karena kondisi struktural yang tidak mereka pilih membatasi opsi mereka. Dokter yang memahami kerangka ini tidak hanya merawat gejala klinis, tetapi juga berkontribusi dalam advokasi perubahan struktural yang lebih adil.</w:t>
      </w:r>
    </w:p>
    <w:p>
      <w:pPr>
        <w:pStyle w:val="Heading2"/>
        <w:spacing w:after="140" w:before="300"/>
      </w:pPr>
      <w:r>
        <w:rPr>
          <w:rFonts w:ascii="Arial" w:cs="Arial" w:eastAsia="Arial" w:hAnsi="Arial"/>
          <w:b/>
          <w:bCs/>
          <w:color w:val="1F5F8B"/>
          <w:sz w:val="30"/>
          <w:szCs w:val="30"/>
        </w:rPr>
        <w:t xml:space="preserve">C. Komorbiditas, Multimorbiditas, dan Pendekatan Holistik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"Tidaklah sesuatu pun yang menimpa seorang Muslim berupa rasa lelah, sakit yang berkepanjangan, kesedihan, hingga duri yang menusuknya, melainkan Allah jadikan hal itu sebagai penebus dosa-dosanya." (HR. Bukhari No. 5641; HR. Muslim No. 2573). Pemahaman ini memberikan kerangka makna spiritual yang sangat kuat bagi pasien dengan multimorbiditas.</w:t>
            </w:r>
          </w:p>
          <w:p>
            <w:pPr>
              <w:spacing w:after="50" w:before="20"/>
              <w:jc w:val="center"/>
            </w:pPr>
            <w:r>
              <w:rPr>
                <w:rFonts w:ascii="Arial" w:cs="Arial" w:eastAsia="Arial" w:hAnsi="Arial"/>
                <w:color w:val="8B6914"/>
                <w:sz w:val="18"/>
                <w:szCs w:val="18"/>
              </w:rPr>
              <w:t xml:space="preserve">— HR. Bukhari No. 5641; HR. Muslim No. 2573</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Multimorbiditas — dua atau lebih kondisi kronis secara bersamaan — adalah realitas yang semakin dominan. Data global menunjukkan bahwa pada usia di atas 65 tahun, lebih dari 65% individu memiliki setidaknya dua kondisi kronis. Panduan klinis hampir selalu disusun untuk satu kondisi dalam isolasi, sementara pasien datang dengan kombinasi yang saling berinteraksi. Seorang pasien dengan diabetes tipe 2, hipertensi, CKD stadium 3, dan depresi tidak bisa dikelola dengan menjumlahkan empat panduan secara mekanis — kombinasi obat yang direkomendasikan masing-masing panduan mungkin saling bertentangan atau saling menguatkan efek samping.</w:t>
      </w:r>
    </w:p>
    <w:p>
      <w:pPr>
        <w:spacing w:after="80" w:before="160"/>
        <w:jc w:val="both"/>
      </w:pPr>
      <w:r>
        <w:rPr>
          <w:rFonts w:ascii="Arial" w:cs="Arial" w:eastAsia="Arial" w:hAnsi="Arial"/>
          <w:b/>
          <w:bCs/>
          <w:color w:val="1A3A5C"/>
          <w:sz w:val="22"/>
          <w:szCs w:val="22"/>
        </w:rPr>
        <w:t xml:space="preserve">Komorbiditas Kesehatan Mental: Realitas yang Sering Diabaikan</w:t>
      </w:r>
    </w:p>
    <w:p>
      <w:pPr>
        <w:spacing w:after="140" w:before="100" w:line="380" w:lineRule="auto"/>
        <w:jc w:val="both"/>
      </w:pPr>
      <w:r>
        <w:rPr>
          <w:rFonts w:ascii="Arial" w:cs="Arial" w:eastAsia="Arial" w:hAnsi="Arial"/>
          <w:color w:val="1C2833"/>
          <w:sz w:val="22"/>
          <w:szCs w:val="22"/>
        </w:rPr>
        <w:t xml:space="preserve">Depresi menyertai 20-30% pasien dengan diabetes tipe 2, penyakit jantung koroner, dan kanker; dan depresi yang tidak diobati secara signifikan memperburuk prognosis kondisi fisik tersebut. Skrining rutin menggunakan PHQ-9 (Kroenke et al., 2001) untuk depresi dan GAD-7 (Spitzer et al., 2006) untuk kecemasan dalam konsultasi klinis rutin adalah praktik yang cost-effective. PHQ-9: skor 10 atau lebih mengindikasikan kemungkinan depresi sedang hingga berat yang memerlukan evaluasi lebih lanjut. GAD-7: skor 10 atau lebih mengindikasikan kecemasan sedang yang perlu perhatian klinis.</w:t>
      </w:r>
    </w:p>
    <w:p>
      <w:pPr>
        <w:pStyle w:val="Heading2"/>
        <w:spacing w:after="140" w:before="300"/>
      </w:pPr>
      <w:r>
        <w:rPr>
          <w:rFonts w:ascii="Arial" w:cs="Arial" w:eastAsia="Arial" w:hAnsi="Arial"/>
          <w:b/>
          <w:bCs/>
          <w:color w:val="1F5F8B"/>
          <w:sz w:val="30"/>
          <w:szCs w:val="30"/>
        </w:rPr>
        <w:t xml:space="preserve">D. Praktik Reflektif dan Muhasabah sebagai Pengembangan Diri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"Orang yang cerdas adalah orang yang menghisab (mengevaluasi) dirinya sendiri dan beramal untuk kehidupan setelah kematian." Muhasabah dalam Islam adalah praktik refleksi diri yang jujur dan berkelanjutan — sejalan dengan konsep reflective practice Schön (1983) namun dengan dimensi vertikal kepada Allah.</w:t>
            </w:r>
          </w:p>
          <w:p>
            <w:pPr>
              <w:spacing w:after="50" w:before="20"/>
              <w:jc w:val="center"/>
            </w:pPr>
            <w:r>
              <w:rPr>
                <w:rFonts w:ascii="Arial" w:cs="Arial" w:eastAsia="Arial" w:hAnsi="Arial"/>
                <w:color w:val="8B6914"/>
                <w:sz w:val="18"/>
                <w:szCs w:val="18"/>
              </w:rPr>
              <w:t xml:space="preserve">— HR. al-Tirmidzi No. 2459; dinilai hasan</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Donald Schön (1983) dalam The Reflective Practitioner membedakan reflection-in-action (selama tindakan berlangsung) dan reflection-on-action (setelah tindakan selesai). Praktik reflektif adalah kapasitas untuk berpikir kritis tentang pengalaman profesional dalam rangka meningkatkan pemahaman dan keterampilan. Burnout — yang secara klinis didefinisikan sebagai sindrom kelelahan emosional, depersonalisasi, dan penurunan pencapaian personal — mempengaruhi 30-50% dokter pada beberapa titik karier. Mencegahnya memerlukan compassion satisfaction yang dalam Islam diperkuat oleh kesadaran bahwa setiap pekerjaan merawat pasien, jika diniatkan karena Allah, bernilai ibadah.</w:t>
      </w:r>
    </w:p>
    <w:p>
      <w:pPr>
        <w:pStyle w:val="Heading2"/>
        <w:spacing w:after="140" w:before="300"/>
      </w:pPr>
      <w:r>
        <w:rPr>
          <w:rFonts w:ascii="Arial" w:cs="Arial" w:eastAsia="Arial" w:hAnsi="Arial"/>
          <w:b/>
          <w:bCs/>
          <w:color w:val="1F5F8B"/>
          <w:sz w:val="30"/>
          <w:szCs w:val="30"/>
        </w:rPr>
        <w:t xml:space="preserve">E. Masa Depan Kedokteran yang Manusiawi dan Berkah untuk Indonesia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"Sebaik-baik manusia adalah yang paling bermanfaat bagi manusia lainnya." Hadits ini adalah motivasi spiritual yang paling kuat bagi setiap dokter dalam menghadapi tantangan sistem kesehatan yang kompleks.</w:t>
            </w:r>
          </w:p>
          <w:p>
            <w:pPr>
              <w:spacing w:after="50" w:before="20"/>
              <w:jc w:val="center"/>
            </w:pPr>
            <w:r>
              <w:rPr>
                <w:rFonts w:ascii="Arial" w:cs="Arial" w:eastAsia="Arial" w:hAnsi="Arial"/>
                <w:color w:val="8B6914"/>
                <w:sz w:val="18"/>
                <w:szCs w:val="18"/>
              </w:rPr>
              <w:t xml:space="preserve">— HR. Ahmad; dinilai hasan oleh al-Albani</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Visi kedokteran Indonesia yang manusiawi dan berkah untuk 2030 dan seterusnya memerlukan transformasi di tiga level. Level individual: setiap dokter berkomitmen mengembangkan kompetensi humanistiknya, menjalankan muhasabah secara regular, dan memelihara spiritualitas yang memberi makna bagi pekerjaannya sebagai ibadah. Level institusional: institusi pendidikan kedokteran membentuk karakter dokter secara aktif dan berkelanjutan. Level sistemik: kebijakan kesehatan nasional yang mengakui determinan sosial kesehatan, JKN yang diperkuat menuju universal health coverage yang bermakna, dan distribusi tenaga kesehatan yang lebih adil. Bagi lulusan UIN, visi ini memiliki dimensi istimewa: menjadi thabib rabbani yang membawa berkah — di mana keahlian medis dipadukan dengan akhlak Islami.</w:t>
      </w:r>
    </w:p>
    <w:p>
      <w:pPr>
        <w:spacing w:after="100" w:before="0"/>
      </w:pPr>
      <w:r>
        <w:t xml:space="preserve"/>
      </w:r>
    </w:p>
    <w:p>
      <w:pPr>
        <w:spacing w:after="80" w:before="160"/>
        <w:jc w:val="both"/>
      </w:pPr>
      <w:r>
        <w:rPr>
          <w:rFonts w:ascii="Arial" w:cs="Arial" w:eastAsia="Arial" w:hAnsi="Arial"/>
          <w:b/>
          <w:bCs/>
          <w:color w:val="1A3A5C"/>
          <w:sz w:val="22"/>
          <w:szCs w:val="22"/>
        </w:rPr>
        <w:t xml:space="preserve">DAFTAR REFERENSI BAB 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C3C7" w:sz="6"/>
              <w:left w:val="single" w:color="BDC3C7" w:sz="6"/>
              <w:bottom w:val="single" w:color="BDC3C7" w:sz="6"/>
              <w:right w:val="single" w:color="BDC3C7" w:sz="6"/>
            </w:tcBorders>
            <w:shd w:fill="F8F9FA" w:val="clear"/>
            <w:tcMar>
              <w:top w:type="dxa" w:w="180"/>
              <w:left w:type="dxa" w:w="240"/>
              <w:bottom w:type="dxa" w:w="180"/>
              <w:right w:type="dxa" w:w="240"/>
            </w:tcMar>
          </w:tcPr>
          <w:p>
            <w:pPr>
              <w:spacing w:after="50" w:before="50"/>
              <w:ind w:left="500" w:hanging="500"/>
            </w:pPr>
            <w:r>
              <w:rPr>
                <w:rFonts w:ascii="Arial" w:cs="Arial" w:eastAsia="Arial" w:hAnsi="Arial"/>
                <w:color w:val="1C2833"/>
                <w:sz w:val="18"/>
                <w:szCs w:val="18"/>
              </w:rPr>
              <w:t xml:space="preserve">1. Commission on Social Determinants of Health. (2008). Closing the Gap in a Generation. WHO. https://www.who.int/publications/i/item/9789241563703</w:t>
            </w:r>
          </w:p>
          <w:p>
            <w:pPr>
              <w:spacing w:after="50" w:before="50"/>
              <w:ind w:left="500" w:hanging="500"/>
            </w:pPr>
            <w:r>
              <w:rPr>
                <w:rFonts w:ascii="Arial" w:cs="Arial" w:eastAsia="Arial" w:hAnsi="Arial"/>
                <w:color w:val="1C2833"/>
                <w:sz w:val="18"/>
                <w:szCs w:val="18"/>
              </w:rPr>
              <w:t xml:space="preserve">2. Elwyn, G., Frosch, D., Thomson, R., Joseph-Williams, N., Lloyd, A., Kinnersley, P., Cording, E., Tomson, D., Dodd, C., Rollnick, S., Edwards, A., &amp; Barry, M. (2012). Shared decision making: A model for clinical practice. Journal of General Internal Medicine, 27(10), 1361-1367. https://doi.org/10.1007/s11606-012-2077-6</w:t>
            </w:r>
          </w:p>
          <w:p>
            <w:pPr>
              <w:spacing w:after="50" w:before="50"/>
              <w:ind w:left="500" w:hanging="500"/>
            </w:pPr>
            <w:r>
              <w:rPr>
                <w:rFonts w:ascii="Arial" w:cs="Arial" w:eastAsia="Arial" w:hAnsi="Arial"/>
                <w:color w:val="1C2833"/>
                <w:sz w:val="18"/>
                <w:szCs w:val="18"/>
              </w:rPr>
              <w:t xml:space="preserve">3. Institute of Medicine. (2001). Crossing the Quality Chasm: A New Health System for the 21st Century. National Academies Press. https://doi.org/10.17226/10027</w:t>
            </w:r>
          </w:p>
          <w:p>
            <w:pPr>
              <w:spacing w:after="50" w:before="50"/>
              <w:ind w:left="500" w:hanging="500"/>
            </w:pPr>
            <w:r>
              <w:rPr>
                <w:rFonts w:ascii="Arial" w:cs="Arial" w:eastAsia="Arial" w:hAnsi="Arial"/>
                <w:color w:val="1C2833"/>
                <w:sz w:val="18"/>
                <w:szCs w:val="18"/>
              </w:rPr>
              <w:t xml:space="preserve">4. Kroenke, K., Spitzer, R. L., &amp; Williams, J. B. W. (2001). The PHQ-9: Validity of a brief depression severity measure. Journal of General Internal Medicine, 16(9), 606-613. https://doi.org/10.1046/j.1525-1497.2001.016009606.x</w:t>
            </w:r>
          </w:p>
          <w:p>
            <w:pPr>
              <w:spacing w:after="50" w:before="50"/>
              <w:ind w:left="500" w:hanging="500"/>
            </w:pPr>
            <w:r>
              <w:rPr>
                <w:rFonts w:ascii="Arial" w:cs="Arial" w:eastAsia="Arial" w:hAnsi="Arial"/>
                <w:color w:val="1C2833"/>
                <w:sz w:val="18"/>
                <w:szCs w:val="18"/>
              </w:rPr>
              <w:t xml:space="preserve">5. Mead, N., &amp; Bower, P. (2000). Patient-centredness: A conceptual framework and review of the empirical literature. Social Science &amp; Medicine, 51(7), 1087-1110. https://doi.org/10.1016/S0277-9536(00)00098-8</w:t>
            </w:r>
          </w:p>
          <w:p>
            <w:pPr>
              <w:spacing w:after="50" w:before="50"/>
              <w:ind w:left="500" w:hanging="500"/>
            </w:pPr>
            <w:r>
              <w:rPr>
                <w:rFonts w:ascii="Arial" w:cs="Arial" w:eastAsia="Arial" w:hAnsi="Arial"/>
                <w:color w:val="1C2833"/>
                <w:sz w:val="18"/>
                <w:szCs w:val="18"/>
              </w:rPr>
              <w:t xml:space="preserve">6. Kementerian Kesehatan Republik Indonesia. (2018). Laporan Nasional Riskesdas 2018. Badan Penelitian dan Pengembangan Kesehatan. https://repository.badankebijakan.kemkes.go.id/id/eprint/3514/</w:t>
            </w:r>
          </w:p>
          <w:p>
            <w:pPr>
              <w:spacing w:after="50" w:before="50"/>
              <w:ind w:left="500" w:hanging="500"/>
            </w:pPr>
            <w:r>
              <w:rPr>
                <w:rFonts w:ascii="Arial" w:cs="Arial" w:eastAsia="Arial" w:hAnsi="Arial"/>
                <w:color w:val="1C2833"/>
                <w:sz w:val="18"/>
                <w:szCs w:val="18"/>
              </w:rPr>
              <w:t xml:space="preserve">7. Kementerian Kesehatan Republik Indonesia. (2022). Profil Kesehatan Indonesia 2021. Kemenkes RI.</w:t>
            </w:r>
          </w:p>
          <w:p>
            <w:pPr>
              <w:spacing w:after="50" w:before="50"/>
              <w:ind w:left="500" w:hanging="500"/>
            </w:pPr>
            <w:r>
              <w:rPr>
                <w:rFonts w:ascii="Arial" w:cs="Arial" w:eastAsia="Arial" w:hAnsi="Arial"/>
                <w:color w:val="1C2833"/>
                <w:sz w:val="18"/>
                <w:szCs w:val="18"/>
              </w:rPr>
              <w:t xml:space="preserve">8. Schön, D. A. (1983). The Reflective Practitioner: How Professionals Think in Action. Basic Books.</w:t>
            </w:r>
          </w:p>
          <w:p>
            <w:pPr>
              <w:spacing w:after="50" w:before="50"/>
              <w:ind w:left="500" w:hanging="500"/>
            </w:pPr>
            <w:r>
              <w:rPr>
                <w:rFonts w:ascii="Arial" w:cs="Arial" w:eastAsia="Arial" w:hAnsi="Arial"/>
                <w:color w:val="1C2833"/>
                <w:sz w:val="18"/>
                <w:szCs w:val="18"/>
              </w:rPr>
              <w:t xml:space="preserve">9. World Health Organization. (2021). World Health Statistics 2021: Monitoring Health for the SDGs. WHO. https://www.who.int/publications/i/item/9789240027053</w:t>
            </w:r>
          </w:p>
        </w:tc>
      </w:tr>
    </w:tbl>
    <w:p>
      <w:r>
        <w:br w:type="page"/>
      </w:r>
    </w:p>
    <w:p>
      <w:pPr>
        <w:pStyle w:val="Heading1"/>
        <w:spacing w:after="220" w:before="440"/>
      </w:pPr>
      <w:r>
        <w:rPr>
          <w:rFonts w:ascii="Arial" w:cs="Arial" w:eastAsia="Arial" w:hAnsi="Arial"/>
          <w:b/>
          <w:bCs/>
          <w:color w:val="1A3A5C"/>
          <w:sz w:val="40"/>
          <w:szCs w:val="40"/>
        </w:rPr>
        <w:t xml:space="preserve">BAB 6: PSIKOLOGI PASIEN, NAFS, DAN MANAJEMEN PERILAKU KLINIS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A3A5C" w:sz="12"/>
              <w:left w:val="single" w:color="1A3A5C" w:sz="12"/>
              <w:bottom w:val="single" w:color="1A3A5C" w:sz="12"/>
              <w:right w:val="single" w:color="1A3A5C" w:sz="12"/>
            </w:tcBorders>
            <w:shd w:fill="F4F6F7" w:val="clear"/>
            <w:tcMar>
              <w:top w:type="dxa" w:w="180"/>
              <w:left w:type="dxa" w:w="260"/>
              <w:bottom w:type="dxa" w:w="180"/>
              <w:right w:type="dxa" w:w="260"/>
            </w:tcMar>
          </w:tcPr>
          <w:p>
            <w:pPr>
              <w:spacing w:after="120" w:before="0"/>
              <w:jc w:val="center"/>
            </w:pPr>
            <w:r>
              <w:rPr>
                <w:rFonts w:ascii="Arial" w:cs="Arial" w:eastAsia="Arial" w:hAnsi="Arial"/>
                <w:b/>
                <w:bCs/>
                <w:color w:val="1A3A5C"/>
                <w:sz w:val="24"/>
                <w:szCs w:val="24"/>
              </w:rPr>
              <w:t xml:space="preserve">TUJUAN PEMBELAJARAN</w:t>
            </w:r>
          </w:p>
          <w:p>
            <w:pPr>
              <w:spacing w:after="40" w:before="60"/>
            </w:pPr>
            <w:r>
              <w:rPr>
                <w:rFonts w:ascii="Arial" w:cs="Arial" w:eastAsia="Arial" w:hAnsi="Arial"/>
                <w:b/>
                <w:bCs/>
                <w:color w:val="0E7C7B"/>
                <w:sz w:val="20"/>
                <w:szCs w:val="20"/>
              </w:rPr>
              <w:t xml:space="preserve">🎯 Kognitif:</w:t>
            </w:r>
          </w:p>
          <w:p>
            <w:pPr>
              <w:spacing w:after="80" w:before="20"/>
            </w:pPr>
            <w:r>
              <w:rPr>
                <w:rFonts w:ascii="Arial" w:cs="Arial" w:eastAsia="Arial" w:hAnsi="Arial"/>
                <w:color w:val="1C2833"/>
                <w:sz w:val="20"/>
                <w:szCs w:val="20"/>
              </w:rPr>
              <w:t xml:space="preserve">Mahasiswa mampu menjelaskan teori gate control nyeri (Melzack &amp; Wall, 1965) dan revisi definisi IASP 2020 (Raja et al.); mengidentifikasi faktor psikologis yang memengaruhi kepatuhan terapi penyakit kronis berdasarkan Health Belief Model; mendeskripsikan dampak psikososial penyakit terhadap identitas dan HRQoL (SF-36); serta menganalisis komorbiditas kesehatan mental menggunakan PHQ-9 dan GAD-7.</w:t>
            </w:r>
          </w:p>
          <w:p>
            <w:pPr>
              <w:spacing w:after="40" w:before="60"/>
            </w:pPr>
            <w:r>
              <w:rPr>
                <w:rFonts w:ascii="Arial" w:cs="Arial" w:eastAsia="Arial" w:hAnsi="Arial"/>
                <w:b/>
                <w:bCs/>
                <w:color w:val="0E7C7B"/>
                <w:sz w:val="20"/>
                <w:szCs w:val="20"/>
              </w:rPr>
              <w:t xml:space="preserve">🔧 Psikomotor:</w:t>
            </w:r>
          </w:p>
          <w:p>
            <w:pPr>
              <w:spacing w:after="80" w:before="20"/>
            </w:pPr>
            <w:r>
              <w:rPr>
                <w:rFonts w:ascii="Arial" w:cs="Arial" w:eastAsia="Arial" w:hAnsi="Arial"/>
                <w:color w:val="1C2833"/>
                <w:sz w:val="20"/>
                <w:szCs w:val="20"/>
              </w:rPr>
              <w:t xml:space="preserve">Mahasiswa mampu menerapkan prinsip Motivational Interviewing (Miller &amp; Rollnick, 2013) dalam konsultasi klinis; melakukan skrining depresi dan kecemasan menggunakan PHQ-9 dan GAD-7; serta menggunakan pendekatan non-farmakologis dalam manajemen nyeri yang mempertimbangkan dimensi spiritual pasien Muslim.</w:t>
            </w:r>
          </w:p>
          <w:p>
            <w:pPr>
              <w:spacing w:after="40" w:before="60"/>
            </w:pPr>
            <w:r>
              <w:rPr>
                <w:rFonts w:ascii="Arial" w:cs="Arial" w:eastAsia="Arial" w:hAnsi="Arial"/>
                <w:b/>
                <w:bCs/>
                <w:color w:val="0E7C7B"/>
                <w:sz w:val="20"/>
                <w:szCs w:val="20"/>
              </w:rPr>
              <w:t xml:space="preserve">💡 Afektif:</w:t>
            </w:r>
          </w:p>
          <w:p>
            <w:pPr>
              <w:spacing w:after="40" w:before="20"/>
            </w:pPr>
            <w:r>
              <w:rPr>
                <w:rFonts w:ascii="Arial" w:cs="Arial" w:eastAsia="Arial" w:hAnsi="Arial"/>
                <w:color w:val="1C2833"/>
                <w:sz w:val="20"/>
                <w:szCs w:val="20"/>
              </w:rPr>
              <w:t xml:space="preserve">Mahasiswa mengembangkan kesabaran (shabr) dan rasa hormat terhadap respons psikologis pasien yang beragam; menunjukkan kepekaan terhadap dimensi psikologis dan spiritual nyeri sebagai ujian (bala'); dan membangun self-compassion (Neff, 2011) sebagai fondasi resiliensi profesional.</w:t>
            </w:r>
          </w:p>
        </w:tc>
      </w:tr>
    </w:tbl>
    <w:p>
      <w:pPr>
        <w:spacing w:after="100" w:before="0"/>
      </w:pPr>
      <w:r>
        <w:t xml:space="preserve"/>
      </w:r>
    </w:p>
    <w:p>
      <w:pPr>
        <w:pStyle w:val="Heading2"/>
        <w:spacing w:after="140" w:before="300"/>
      </w:pPr>
      <w:r>
        <w:rPr>
          <w:rFonts w:ascii="Arial" w:cs="Arial" w:eastAsia="Arial" w:hAnsi="Arial"/>
          <w:b/>
          <w:bCs/>
          <w:color w:val="1F5F8B"/>
          <w:sz w:val="30"/>
          <w:szCs w:val="30"/>
        </w:rPr>
        <w:t xml:space="preserve">A. Psikologi Nyeri: Gate Control, Sensitisasi Sentral, dan Ujian (Bala')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sungguh akan Kami uji kamu dengan sedikit ketakutan, kelaparan, kekurangan harta, jiwa, dan buah-buahan. Dan berikanlah kabar gembira kepada orang-orang yang sabar." (QS. Al-Baqarah: 155). Penderitaan fisik, jika dihadapi dengan sabar, memiliki dimensi makna dan pahala yang melampaui pengalaman biologisnya semata.</w:t>
            </w:r>
          </w:p>
          <w:p>
            <w:pPr>
              <w:spacing w:after="50" w:before="20"/>
              <w:jc w:val="center"/>
            </w:pPr>
            <w:r>
              <w:rPr>
                <w:rFonts w:ascii="Arial" w:cs="Arial" w:eastAsia="Arial" w:hAnsi="Arial"/>
                <w:color w:val="8B6914"/>
                <w:sz w:val="18"/>
                <w:szCs w:val="18"/>
              </w:rPr>
              <w:t xml:space="preserve">— QS. Al-Baqarah (2): 155</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International Association for the Study of Pain (IASP) pada tahun 2020 merevisi definisi nyeri untuk pertama kalinya dalam lebih dari empat dekade. Raja et al. (2020) mempublikasikan definisi baru yang sangat signifikan: nyeri adalah 'pengalaman sensoris dan emosional yang tidak menyenangkan yang berkaitan dengan, atau menyerupai, kerusakan jaringan aktual atau potensial.' Penambahan kata 'emosional' secara eksplisit mengakui bahwa nyeri selalu memiliki komponen afektif yang tidak dapat dipisahkan dari komponen sensoris.</w:t>
      </w:r>
    </w:p>
    <w:p>
      <w:pPr>
        <w:spacing w:after="80" w:before="160"/>
        <w:jc w:val="both"/>
      </w:pPr>
      <w:r>
        <w:rPr>
          <w:rFonts w:ascii="Arial" w:cs="Arial" w:eastAsia="Arial" w:hAnsi="Arial"/>
          <w:b/>
          <w:bCs/>
          <w:color w:val="1A3A5C"/>
          <w:sz w:val="22"/>
          <w:szCs w:val="22"/>
        </w:rPr>
        <w:t xml:space="preserve">Teori Gate Control: Revolusi Pemahaman Nyeri</w:t>
      </w:r>
    </w:p>
    <w:p>
      <w:pPr>
        <w:spacing w:after="140" w:before="100" w:line="380" w:lineRule="auto"/>
        <w:jc w:val="both"/>
      </w:pPr>
      <w:r>
        <w:rPr>
          <w:rFonts w:ascii="Arial" w:cs="Arial" w:eastAsia="Arial" w:hAnsi="Arial"/>
          <w:color w:val="1C2833"/>
          <w:sz w:val="22"/>
          <w:szCs w:val="22"/>
        </w:rPr>
        <w:t xml:space="preserve">Melzack &amp; Wall (1965) dalam artikel landmark di jurnal Science mempublikasikan teori gate control yang merevolusi pemahaman nyeri. Argumen inti: transmisi sinyal nyeri dari perifer ke otak bukan proses satu arah yang pasif, melainkan proses aktif yang dimodulasi oleh mekanisme 'gating' di medula spinalis. Faktor yang menutup gerbang dan mengurangi nyeri: relaksasi, distraksi, perasaan kontrol, suasana positif, dan harapan yang positif. Faktor yang membuka gerbang dan meningkatkan nyeri: kecemasan, ketakutan, depresi, kurang tidur, dan isolasi sosial. Implikasi klinis sangat konkret: lingkungan klinik yang mengurangi kecemasan secara literal mengurangi intensitas nyeri yang dirasakan pasien.</w:t>
      </w:r>
    </w:p>
    <w:p>
      <w:pPr>
        <w:spacing w:after="80" w:before="160"/>
        <w:jc w:val="both"/>
      </w:pPr>
      <w:r>
        <w:rPr>
          <w:rFonts w:ascii="Arial" w:cs="Arial" w:eastAsia="Arial" w:hAnsi="Arial"/>
          <w:b/>
          <w:bCs/>
          <w:color w:val="1A3A5C"/>
          <w:sz w:val="22"/>
          <w:szCs w:val="22"/>
        </w:rPr>
        <w:t xml:space="preserve">Sensitisasi Sentral dan Nyeri Kronis</w:t>
      </w:r>
    </w:p>
    <w:p>
      <w:pPr>
        <w:spacing w:after="140" w:before="100" w:line="380" w:lineRule="auto"/>
        <w:jc w:val="both"/>
      </w:pPr>
      <w:r>
        <w:rPr>
          <w:rFonts w:ascii="Arial" w:cs="Arial" w:eastAsia="Arial" w:hAnsi="Arial"/>
          <w:color w:val="1C2833"/>
          <w:sz w:val="22"/>
          <w:szCs w:val="22"/>
        </w:rPr>
        <w:t xml:space="preserve">Nyeri kronis (lebih dari tiga bulan) melibatkan sensitisasi sentral: sistem saraf pusat menjadi hiperresponsif terhadap stimulus yang normalnya tidak menimbulkan nyeri. Pada kondisi seperti fibromyalgia, chronic low back pain non-spesifik, dan nyeri neuropatik kronis, pendekatan yang hanya menargetkan 'sumber nyeri perifer' seringkali tidak efektif. Pendekatan multimodal yang mengintegrasikan farmakologi, fisioterapi, Cognitive Behavioral Therapy, dan dukungan spiritual terbukti lebih efektif dari pendekatan unimodal.</w:t>
      </w:r>
    </w:p>
    <w:p>
      <w:pPr>
        <w:spacing w:after="80" w:before="160"/>
        <w:jc w:val="both"/>
      </w:pPr>
      <w:r>
        <w:rPr>
          <w:rFonts w:ascii="Arial" w:cs="Arial" w:eastAsia="Arial" w:hAnsi="Arial"/>
          <w:b/>
          <w:bCs/>
          <w:color w:val="1A3A5C"/>
          <w:sz w:val="22"/>
          <w:szCs w:val="22"/>
        </w:rPr>
        <w:t xml:space="preserve">Dimensi Spiritual Nyeri: Perspektif Ibn Qayyim al-Jauziyyah</w:t>
      </w:r>
    </w:p>
    <w:p>
      <w:pPr>
        <w:spacing w:after="140" w:before="100" w:line="380" w:lineRule="auto"/>
        <w:jc w:val="both"/>
      </w:pPr>
      <w:r>
        <w:rPr>
          <w:rFonts w:ascii="Arial" w:cs="Arial" w:eastAsia="Arial" w:hAnsi="Arial"/>
          <w:color w:val="1C2833"/>
          <w:sz w:val="22"/>
          <w:szCs w:val="22"/>
        </w:rPr>
        <w:t xml:space="preserve">Ibn Qayyim al-Jauziyyah (998 H/1998) dalam Al-Tibb al-Nabawi membahas secara mendalam bagaimana perspektif Islam terhadap sakit sebagai ujian (bala') dapat menjadi sumber kekuatan psikologis yang nyata. Keyakinan bahwa Allah tidak menjatuhkan ujian melebihi kemampuan hamba-Nya (QS. Al-Baqarah: 286), dan bahwa penderitaan yang ditanggung dengan sabar membawa pahala (HR. Bukhari No. 5641), bukan sekadar penghiburan kosong, tetapi secara psikologis membentuk meaning making yang kuat. Dokter dapat membantu pasien Muslim mengintegrasikan perspektif spiritual ini sebagai komplemen dari pendekatan medis berbasis bukti.</w:t>
      </w:r>
    </w:p>
    <w:p>
      <w:pPr>
        <w:pStyle w:val="Heading2"/>
        <w:spacing w:after="140" w:before="300"/>
      </w:pPr>
      <w:r>
        <w:rPr>
          <w:rFonts w:ascii="Arial" w:cs="Arial" w:eastAsia="Arial" w:hAnsi="Arial"/>
          <w:b/>
          <w:bCs/>
          <w:color w:val="1F5F8B"/>
          <w:sz w:val="30"/>
          <w:szCs w:val="30"/>
        </w:rPr>
        <w:t xml:space="preserve">B. Motivasi dan Kepatuhan Terapi Penyakit Kronis (Motivational Interviewing)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"Sesungguhnya Allah tidak mengubah keadaan suatu kaum sehingga mereka mengubah keadaan yang ada pada diri mereka sendiri." (QS. Ar-Ra'd: 11). Ayat ini memberikan landasan teologis yang kuat bagi prinsip inti Motivational Interviewing: motivasi untuk berubah harus datang dari dalam diri pasien sendiri.</w:t>
            </w:r>
          </w:p>
          <w:p>
            <w:pPr>
              <w:spacing w:after="50" w:before="20"/>
              <w:jc w:val="center"/>
            </w:pPr>
            <w:r>
              <w:rPr>
                <w:rFonts w:ascii="Arial" w:cs="Arial" w:eastAsia="Arial" w:hAnsi="Arial"/>
                <w:color w:val="8B6914"/>
                <w:sz w:val="18"/>
                <w:szCs w:val="18"/>
              </w:rPr>
              <w:t xml:space="preserve">— QS. Ar-Ra'd (13): 11</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WHO (2003) melaporkan bahwa hanya sekitar 50% pasien dengan penyakit kronis di negara berkembang mengonsumsi obat secara teratur. Health Belief Model (Rosenstock, 1966) mengidentifikasi faktor utama yang memengaruhi apakah seseorang mengambil tindakan kesehatan: perceived susceptibility, perceived severity, perceived benefits, perceived barriers, cues to action, dan self-efficacy. Pendekatan yang hanya memberikan informasi faktual tanpa mengeksplorasi faktor-faktor perseptual ini cenderung tidak efektif mengubah perilaku.</w:t>
      </w:r>
    </w:p>
    <w:p>
      <w:pPr>
        <w:spacing w:after="80" w:before="160"/>
        <w:jc w:val="both"/>
      </w:pPr>
      <w:r>
        <w:rPr>
          <w:rFonts w:ascii="Arial" w:cs="Arial" w:eastAsia="Arial" w:hAnsi="Arial"/>
          <w:b/>
          <w:bCs/>
          <w:color w:val="1A3A5C"/>
          <w:sz w:val="22"/>
          <w:szCs w:val="22"/>
        </w:rPr>
        <w:t xml:space="preserve">Motivational Interviewing: Pendekatan Berbasis Bukti</w:t>
      </w:r>
    </w:p>
    <w:p>
      <w:pPr>
        <w:spacing w:after="140" w:before="100" w:line="380" w:lineRule="auto"/>
        <w:jc w:val="both"/>
      </w:pPr>
      <w:r>
        <w:rPr>
          <w:rFonts w:ascii="Arial" w:cs="Arial" w:eastAsia="Arial" w:hAnsi="Arial"/>
          <w:color w:val="1C2833"/>
          <w:sz w:val="22"/>
          <w:szCs w:val="22"/>
        </w:rPr>
        <w:t xml:space="preserve">Motivational Interviewing (Miller &amp; Rollnick, 2013) adalah pendekatan percakapan klinis yang secara konsisten terbukti efektif dalam meningkatkan motivasi intrinsik untuk perubahan perilaku kesehatan — telah dievaluasi dalam ratusan uji klinis acak untuk berbagai kondisi. Prinsip inti MI diakronimkan sebagai RULE: Resist the righting reflex (menahan kecenderungan langsung memberikan solusi), Understand the patient's own motivation, Listen with empathy, dan Empower the patient. Dalam praktik, MI menggunakan pertanyaan terbuka, refleksi, summary, dan affirmation.</w:t>
      </w:r>
    </w:p>
    <w:p>
      <w:pPr>
        <w:pStyle w:val="Heading2"/>
        <w:spacing w:after="140" w:before="300"/>
      </w:pPr>
      <w:r>
        <w:rPr>
          <w:rFonts w:ascii="Arial" w:cs="Arial" w:eastAsia="Arial" w:hAnsi="Arial"/>
          <w:b/>
          <w:bCs/>
          <w:color w:val="1F5F8B"/>
          <w:sz w:val="30"/>
          <w:szCs w:val="30"/>
        </w:rPr>
        <w:t xml:space="preserve">C. Dampak Psikososial Penyakit: Identitas, Body Image, dan HRQoL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"Tidaklah seorang hamba ditimpa suatu musibah, lalu ia mengucapkan: Inna lillahi wa inna ilaihi raji'un, melainkan Allah akan memberinya ganti yang lebih baik darinya." (HR. Muslim No. 918). Keyakinan ini membantu pasien memaknai ulang kehilangan yang dialami akibat penyakit.</w:t>
            </w:r>
          </w:p>
          <w:p>
            <w:pPr>
              <w:spacing w:after="50" w:before="20"/>
              <w:jc w:val="center"/>
            </w:pPr>
            <w:r>
              <w:rPr>
                <w:rFonts w:ascii="Arial" w:cs="Arial" w:eastAsia="Arial" w:hAnsi="Arial"/>
                <w:color w:val="8B6914"/>
                <w:sz w:val="18"/>
                <w:szCs w:val="18"/>
              </w:rPr>
              <w:t xml:space="preserve">— HR. Muslim No. 918</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Penyakit serius tidak hanya mengubah fungsi biologis, tetapi secara fundamental mengancam identitas diri pasien. Seorang pelari maraton yang mengalami artritis reumatoid tidak hanya kehilangan kemampuan berlari — ia mungkin kehilangan sebagian dari siapa dirinya. Konsep Health-Related Quality of Life (HRQoL) mengintegrasikan dampak fungsional, psikologis, dan sosial dari kondisi kesehatan terhadap kesejahteraan individu. Instrumen SF-36 (Ware &amp; Sherbourne, 1992) mengukur delapan domain HRQoL dan semakin digunakan sebagai outcome measure yang setara pentingnya dengan parameter klinis. Dokter yang rutin mengeksplorasi HRQoL dalam konsultasinya akan lebih memahami apa yang paling penting bagi pasiennya.</w:t>
      </w:r>
    </w:p>
    <w:p>
      <w:pPr>
        <w:pStyle w:val="Heading2"/>
        <w:spacing w:after="140" w:before="300"/>
      </w:pPr>
      <w:r>
        <w:rPr>
          <w:rFonts w:ascii="Arial" w:cs="Arial" w:eastAsia="Arial" w:hAnsi="Arial"/>
          <w:b/>
          <w:bCs/>
          <w:color w:val="1F5F8B"/>
          <w:sz w:val="30"/>
          <w:szCs w:val="30"/>
        </w:rPr>
        <w:t xml:space="preserve">D. Komorbiditas Kesehatan Mental: Skrining PHQ-9, GAD-7, dan Tazkiyatun Nafs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"Ingatlah, hanya dengan mengingat Allah hati menjadi tenteram." (QS. Ar-Ra'd: 28). Kesehatan jiwa (nafs) adalah bagian integral dari kesehatan manusia yang utuh. Tazkiyatun nafs melengkapi — bukan menggantikan — penanganan klinis terhadap gangguan kesehatan mental.</w:t>
            </w:r>
          </w:p>
          <w:p>
            <w:pPr>
              <w:spacing w:after="50" w:before="20"/>
              <w:jc w:val="center"/>
            </w:pPr>
            <w:r>
              <w:rPr>
                <w:rFonts w:ascii="Arial" w:cs="Arial" w:eastAsia="Arial" w:hAnsi="Arial"/>
                <w:color w:val="8B6914"/>
                <w:sz w:val="18"/>
                <w:szCs w:val="18"/>
              </w:rPr>
              <w:t xml:space="preserve">— QS. Ar-Ra'd (13): 28</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Depresi menyertai 20-30% pasien dengan diabetes tipe 2, penyakit jantung koroner, dan kanker. Skrining rutin menggunakan PHQ-9 (Kroenke et al., 2001; DOI: 10.1046/j.1525-1497.2001.016009606.x) untuk depresi dan GAD-7 (Spitzer et al., 2006; DOI: 10.1001/archinte.166.10.1092) untuk kecemasan adalah praktik yang cost-effective dan direkomendasikan berbagai panduan klinis internasional. PHQ-9 terdiri dari sembilan item dengan skor 0-27; skor 10 atau lebih memerlukan evaluasi klinis lebih lanjut. Penting: tazkiyatun nafs (penyucian jiwa) adalah proses spiritual yang melengkapi, bukan menggantikan, perawatan klinis profesional.</w:t>
      </w:r>
    </w:p>
    <w:p>
      <w:pPr>
        <w:pStyle w:val="Heading2"/>
        <w:spacing w:after="140" w:before="300"/>
      </w:pPr>
      <w:r>
        <w:rPr>
          <w:rFonts w:ascii="Arial" w:cs="Arial" w:eastAsia="Arial" w:hAnsi="Arial"/>
          <w:b/>
          <w:bCs/>
          <w:color w:val="1F5F8B"/>
          <w:sz w:val="30"/>
          <w:szCs w:val="30"/>
        </w:rPr>
        <w:t xml:space="preserve">E. Resiliensi Profesional: Sabar dan Self-Compassion sebagai Kekuatan Klinisi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mohonlah pertolongan (kepada Allah) dengan sabar dan shalat. Sesungguhnya Allah beserta orang-orang yang sabar." (QS. Al-Baqarah: 153). Shabr bukan kepassifan menanggung penderitaan, tetapi kekuatan aktif yang ditopang oleh hubungan dengan Allah — sumber resiliensi yang tidak habis-habisnya.</w:t>
            </w:r>
          </w:p>
          <w:p>
            <w:pPr>
              <w:spacing w:after="50" w:before="20"/>
              <w:jc w:val="center"/>
            </w:pPr>
            <w:r>
              <w:rPr>
                <w:rFonts w:ascii="Arial" w:cs="Arial" w:eastAsia="Arial" w:hAnsi="Arial"/>
                <w:color w:val="8B6914"/>
                <w:sz w:val="18"/>
                <w:szCs w:val="18"/>
              </w:rPr>
              <w:t xml:space="preserve">— QS. Al-Baqarah (2): 153</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Burnout mempengaruhi 30-50% dokter pada beberapa titik karier. Neff (2011) dalam Self-Compassion menunjukkan bahwa self-compassion — memperlakukan diri sendiri dengan kebaikan yang sama yang akan diberikan kepada teman yang menghadapi kesulitan — berkorelasi dengan resiliensi lebih besar, burnout lebih rendah, dan motivasi intrinsik yang lebih kuat untuk perbaikan diri. Paradoks yang menarik: self-compassion bukan tanda menurunnya standar, melainkan fondasi yang memungkinkan dokter mempertahankan empati kepada pasien jangka panjang. Ekosistem dukungan profesional yang diperlukan mencakup peer support yang otentik, supervision dan mentoring, kehidupan di luar pekerjaan yang bermakna, dan — bagi dokter Muslim — kehidupan spiritual yang aktif.</w:t>
      </w:r>
    </w:p>
    <w:p>
      <w:pPr>
        <w:spacing w:after="100" w:before="0"/>
      </w:pPr>
      <w:r>
        <w:t xml:space="preserve"/>
      </w:r>
    </w:p>
    <w:p>
      <w:pPr>
        <w:spacing w:after="80" w:before="160"/>
        <w:jc w:val="both"/>
      </w:pPr>
      <w:r>
        <w:rPr>
          <w:rFonts w:ascii="Arial" w:cs="Arial" w:eastAsia="Arial" w:hAnsi="Arial"/>
          <w:b/>
          <w:bCs/>
          <w:color w:val="1A3A5C"/>
          <w:sz w:val="22"/>
          <w:szCs w:val="22"/>
        </w:rPr>
        <w:t xml:space="preserve">DAFTAR REFERENSI BAB 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C3C7" w:sz="6"/>
              <w:left w:val="single" w:color="BDC3C7" w:sz="6"/>
              <w:bottom w:val="single" w:color="BDC3C7" w:sz="6"/>
              <w:right w:val="single" w:color="BDC3C7" w:sz="6"/>
            </w:tcBorders>
            <w:shd w:fill="F8F9FA" w:val="clear"/>
            <w:tcMar>
              <w:top w:type="dxa" w:w="180"/>
              <w:left w:type="dxa" w:w="240"/>
              <w:bottom w:type="dxa" w:w="180"/>
              <w:right w:type="dxa" w:w="240"/>
            </w:tcMar>
          </w:tcPr>
          <w:p>
            <w:pPr>
              <w:spacing w:after="50" w:before="50"/>
              <w:ind w:left="500" w:hanging="500"/>
            </w:pPr>
            <w:r>
              <w:rPr>
                <w:rFonts w:ascii="Arial" w:cs="Arial" w:eastAsia="Arial" w:hAnsi="Arial"/>
                <w:color w:val="1C2833"/>
                <w:sz w:val="18"/>
                <w:szCs w:val="18"/>
              </w:rPr>
              <w:t xml:space="preserve">1. Raja, S. N., Carr, D. B., Cohen, M., Finnerup, N. B., Flor, H., Gibson, S., Keefe, F. J., Mogil, J. S., Ringkamp, M., Sluka, K. A., Song, X. J., Stevens, B., Sullivan, M. D., Tutelman, P. R., Ushida, T., &amp; Vader, K. (2020). The revised IASP definition of pain. Pain, 161(9), 1976-1982. https://doi.org/10.1097/j.pain.0000000000001939</w:t>
            </w:r>
          </w:p>
          <w:p>
            <w:pPr>
              <w:spacing w:after="50" w:before="50"/>
              <w:ind w:left="500" w:hanging="500"/>
            </w:pPr>
            <w:r>
              <w:rPr>
                <w:rFonts w:ascii="Arial" w:cs="Arial" w:eastAsia="Arial" w:hAnsi="Arial"/>
                <w:color w:val="1C2833"/>
                <w:sz w:val="18"/>
                <w:szCs w:val="18"/>
              </w:rPr>
              <w:t xml:space="preserve">2. Ibn Qayyim al-Jawziyyah. (751 H/1998). Al-Tibb al-Nabawi (Tahqiq: 'Abd al-Ghani 'Abd al-Khaliq). Dar Ibn al-Jauzi, Riyadh.</w:t>
            </w:r>
          </w:p>
          <w:p>
            <w:pPr>
              <w:spacing w:after="50" w:before="50"/>
              <w:ind w:left="500" w:hanging="500"/>
            </w:pPr>
            <w:r>
              <w:rPr>
                <w:rFonts w:ascii="Arial" w:cs="Arial" w:eastAsia="Arial" w:hAnsi="Arial"/>
                <w:color w:val="1C2833"/>
                <w:sz w:val="18"/>
                <w:szCs w:val="18"/>
              </w:rPr>
              <w:t xml:space="preserve">3. Kroenke, K., Spitzer, R. L., &amp; Williams, J. B. W. (2001). The PHQ-9: Validity of a brief depression severity measure. Journal of General Internal Medicine, 16(9), 606-613. https://doi.org/10.1046/j.1525-1497.2001.016009606.x</w:t>
            </w:r>
          </w:p>
          <w:p>
            <w:pPr>
              <w:spacing w:after="50" w:before="50"/>
              <w:ind w:left="500" w:hanging="500"/>
            </w:pPr>
            <w:r>
              <w:rPr>
                <w:rFonts w:ascii="Arial" w:cs="Arial" w:eastAsia="Arial" w:hAnsi="Arial"/>
                <w:color w:val="1C2833"/>
                <w:sz w:val="18"/>
                <w:szCs w:val="18"/>
              </w:rPr>
              <w:t xml:space="preserve">4. Melzack, R., &amp; Wall, P. D. (1965). Pain mechanisms: A new theory. Science, 150(3699), 971-979. https://doi.org/10.1126/science.150.3699.971</w:t>
            </w:r>
          </w:p>
          <w:p>
            <w:pPr>
              <w:spacing w:after="50" w:before="50"/>
              <w:ind w:left="500" w:hanging="500"/>
            </w:pPr>
            <w:r>
              <w:rPr>
                <w:rFonts w:ascii="Arial" w:cs="Arial" w:eastAsia="Arial" w:hAnsi="Arial"/>
                <w:color w:val="1C2833"/>
                <w:sz w:val="18"/>
                <w:szCs w:val="18"/>
              </w:rPr>
              <w:t xml:space="preserve">5. Miller, W. R., &amp; Rollnick, S. (2013). Motivational Interviewing: Helping People Change (3rd ed.). Guilford Press.</w:t>
            </w:r>
          </w:p>
          <w:p>
            <w:pPr>
              <w:spacing w:after="50" w:before="50"/>
              <w:ind w:left="500" w:hanging="500"/>
            </w:pPr>
            <w:r>
              <w:rPr>
                <w:rFonts w:ascii="Arial" w:cs="Arial" w:eastAsia="Arial" w:hAnsi="Arial"/>
                <w:color w:val="1C2833"/>
                <w:sz w:val="18"/>
                <w:szCs w:val="18"/>
              </w:rPr>
              <w:t xml:space="preserve">6. Neff, K. D. (2011). Self-Compassion: The Proven Power of Being Kind to Yourself. William Morrow.</w:t>
            </w:r>
          </w:p>
          <w:p>
            <w:pPr>
              <w:spacing w:after="50" w:before="50"/>
              <w:ind w:left="500" w:hanging="500"/>
            </w:pPr>
            <w:r>
              <w:rPr>
                <w:rFonts w:ascii="Arial" w:cs="Arial" w:eastAsia="Arial" w:hAnsi="Arial"/>
                <w:color w:val="1C2833"/>
                <w:sz w:val="18"/>
                <w:szCs w:val="18"/>
              </w:rPr>
              <w:t xml:space="preserve">7. Rosenstock, I. M. (1966). Why people use health services. Milbank Memorial Fund Quarterly, 44(3), 94-127. https://doi.org/10.2307/3348967</w:t>
            </w:r>
          </w:p>
          <w:p>
            <w:pPr>
              <w:spacing w:after="50" w:before="50"/>
              <w:ind w:left="500" w:hanging="500"/>
            </w:pPr>
            <w:r>
              <w:rPr>
                <w:rFonts w:ascii="Arial" w:cs="Arial" w:eastAsia="Arial" w:hAnsi="Arial"/>
                <w:color w:val="1C2833"/>
                <w:sz w:val="18"/>
                <w:szCs w:val="18"/>
              </w:rPr>
              <w:t xml:space="preserve">8. Spitzer, R. L., Kroenke, K., Williams, J. B. W., &amp; Löwe, B. (2006). A brief measure for assessing generalized anxiety disorder: The GAD-7. Archives of Internal Medicine, 166(10), 1092-1097. https://doi.org/10.1001/archinte.166.10.1092</w:t>
            </w:r>
          </w:p>
          <w:p>
            <w:pPr>
              <w:spacing w:after="50" w:before="50"/>
              <w:ind w:left="500" w:hanging="500"/>
            </w:pPr>
            <w:r>
              <w:rPr>
                <w:rFonts w:ascii="Arial" w:cs="Arial" w:eastAsia="Arial" w:hAnsi="Arial"/>
                <w:color w:val="1C2833"/>
                <w:sz w:val="18"/>
                <w:szCs w:val="18"/>
              </w:rPr>
              <w:t xml:space="preserve">9. Ware, J. E., &amp; Sherbourne, C. D. (1992). The MOS 36-Item Short-Form Health Survey (SF-36). Medical Care, 30(6), 473-483. https://doi.org/10.1097/00005650-199206000-00002</w:t>
            </w:r>
          </w:p>
          <w:p>
            <w:pPr>
              <w:spacing w:after="50" w:before="50"/>
              <w:ind w:left="500" w:hanging="500"/>
            </w:pPr>
            <w:r>
              <w:rPr>
                <w:rFonts w:ascii="Arial" w:cs="Arial" w:eastAsia="Arial" w:hAnsi="Arial"/>
                <w:color w:val="1C2833"/>
                <w:sz w:val="18"/>
                <w:szCs w:val="18"/>
              </w:rPr>
              <w:t xml:space="preserve">10. World Health Organization. (2003). Adherence to Long-Term Therapies: Evidence for Action. WHO. https://www.who.int/publications/i/item/adherence-to-long-term-therapies-evidence-for-action</w:t>
            </w:r>
          </w:p>
        </w:tc>
      </w:tr>
    </w:tbl>
    <w:p>
      <w:r>
        <w:br w:type="page"/>
      </w:r>
    </w:p>
    <w:p>
      <w:pPr>
        <w:pStyle w:val="Heading1"/>
        <w:spacing w:after="220" w:before="440"/>
      </w:pPr>
      <w:r>
        <w:rPr>
          <w:rFonts w:ascii="Arial" w:cs="Arial" w:eastAsia="Arial" w:hAnsi="Arial"/>
          <w:b/>
          <w:bCs/>
          <w:color w:val="1A3A5C"/>
          <w:sz w:val="40"/>
          <w:szCs w:val="40"/>
        </w:rPr>
        <w:t xml:space="preserve">BAB 7: KEPEMIMPINAN, PROFESI, DAN TANGGUNG JAWAB SOSIAL DOKTER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A3A5C" w:sz="12"/>
              <w:left w:val="single" w:color="1A3A5C" w:sz="12"/>
              <w:bottom w:val="single" w:color="1A3A5C" w:sz="12"/>
              <w:right w:val="single" w:color="1A3A5C" w:sz="12"/>
            </w:tcBorders>
            <w:shd w:fill="F4F6F7" w:val="clear"/>
            <w:tcMar>
              <w:top w:type="dxa" w:w="180"/>
              <w:left w:type="dxa" w:w="260"/>
              <w:bottom w:type="dxa" w:w="180"/>
              <w:right w:type="dxa" w:w="260"/>
            </w:tcMar>
          </w:tcPr>
          <w:p>
            <w:pPr>
              <w:spacing w:after="120" w:before="0"/>
              <w:jc w:val="center"/>
            </w:pPr>
            <w:r>
              <w:rPr>
                <w:rFonts w:ascii="Arial" w:cs="Arial" w:eastAsia="Arial" w:hAnsi="Arial"/>
                <w:b/>
                <w:bCs/>
                <w:color w:val="1A3A5C"/>
                <w:sz w:val="24"/>
                <w:szCs w:val="24"/>
              </w:rPr>
              <w:t xml:space="preserve">TUJUAN PEMBELAJARAN</w:t>
            </w:r>
          </w:p>
          <w:p>
            <w:pPr>
              <w:spacing w:after="40" w:before="60"/>
            </w:pPr>
            <w:r>
              <w:rPr>
                <w:rFonts w:ascii="Arial" w:cs="Arial" w:eastAsia="Arial" w:hAnsi="Arial"/>
                <w:b/>
                <w:bCs/>
                <w:color w:val="0E7C7B"/>
                <w:sz w:val="20"/>
                <w:szCs w:val="20"/>
              </w:rPr>
              <w:t xml:space="preserve">🎯 Kognitif:</w:t>
            </w:r>
          </w:p>
          <w:p>
            <w:pPr>
              <w:spacing w:after="80" w:before="20"/>
            </w:pPr>
            <w:r>
              <w:rPr>
                <w:rFonts w:ascii="Arial" w:cs="Arial" w:eastAsia="Arial" w:hAnsi="Arial"/>
                <w:color w:val="1C2833"/>
                <w:sz w:val="20"/>
                <w:szCs w:val="20"/>
              </w:rPr>
              <w:t xml:space="preserve">Mahasiswa mampu menjelaskan konsep profesionalisme medis berdasarkan Physician Charter (ABIM Foundation et al., 2002) dan SKDI 2012, diperkaya konsep itqan; menganalisis kepemimpinan klinis dan kolaborasi interprofesional berdasarkan WHO IPECP (2010); serta mendeskripsikan kerangka P2KB/CPD dan posisi dokter dalam sistem JKN berdasarkan UU No. 17 Tahun 2023.</w:t>
            </w:r>
          </w:p>
          <w:p>
            <w:pPr>
              <w:spacing w:after="40" w:before="60"/>
            </w:pPr>
            <w:r>
              <w:rPr>
                <w:rFonts w:ascii="Arial" w:cs="Arial" w:eastAsia="Arial" w:hAnsi="Arial"/>
                <w:b/>
                <w:bCs/>
                <w:color w:val="0E7C7B"/>
                <w:sz w:val="20"/>
                <w:szCs w:val="20"/>
              </w:rPr>
              <w:t xml:space="preserve">🔧 Psikomotor:</w:t>
            </w:r>
          </w:p>
          <w:p>
            <w:pPr>
              <w:spacing w:after="80" w:before="20"/>
            </w:pPr>
            <w:r>
              <w:rPr>
                <w:rFonts w:ascii="Arial" w:cs="Arial" w:eastAsia="Arial" w:hAnsi="Arial"/>
                <w:color w:val="1C2833"/>
                <w:sz w:val="20"/>
                <w:szCs w:val="20"/>
              </w:rPr>
              <w:t xml:space="preserve">Mahasiswa mampu menyusun rencana pengembangan profesional yang mencakup dimensi teknis, humanistik, dan spiritual; mempraktikkan kepemimpinan klinis dalam simulasi tim layanan kesehatan yang dilandasi ukhuwah; dan merancang program edukasi kesehatan komunitas berbasis dakwah bil hikmah sesuai Ottawa Charter.</w:t>
            </w:r>
          </w:p>
          <w:p>
            <w:pPr>
              <w:spacing w:after="40" w:before="60"/>
            </w:pPr>
            <w:r>
              <w:rPr>
                <w:rFonts w:ascii="Arial" w:cs="Arial" w:eastAsia="Arial" w:hAnsi="Arial"/>
                <w:b/>
                <w:bCs/>
                <w:color w:val="0E7C7B"/>
                <w:sz w:val="20"/>
                <w:szCs w:val="20"/>
              </w:rPr>
              <w:t xml:space="preserve">💡 Afektif:</w:t>
            </w:r>
          </w:p>
          <w:p>
            <w:pPr>
              <w:spacing w:after="40" w:before="20"/>
            </w:pPr>
            <w:r>
              <w:rPr>
                <w:rFonts w:ascii="Arial" w:cs="Arial" w:eastAsia="Arial" w:hAnsi="Arial"/>
                <w:color w:val="1C2833"/>
                <w:sz w:val="20"/>
                <w:szCs w:val="20"/>
              </w:rPr>
              <w:t xml:space="preserve">Mahasiswa mengembangkan identitas profesional sebagai thabib rabbani dan rasa bangga terhadap profesi dokter sebagai amal shalih; menunjukkan komitmen terhadap pengembangan diri sepanjang karier sebagai bentuk syukur; dan membangun orientasi pelayanan yang berpihak pada keadilan sosial.</w:t>
            </w:r>
          </w:p>
        </w:tc>
      </w:tr>
    </w:tbl>
    <w:p>
      <w:pPr>
        <w:spacing w:after="100" w:before="0"/>
      </w:pPr>
      <w:r>
        <w:t xml:space="preserve"/>
      </w:r>
    </w:p>
    <w:p>
      <w:pPr>
        <w:pStyle w:val="Heading2"/>
        <w:spacing w:after="140" w:before="300"/>
      </w:pPr>
      <w:r>
        <w:rPr>
          <w:rFonts w:ascii="Arial" w:cs="Arial" w:eastAsia="Arial" w:hAnsi="Arial"/>
          <w:b/>
          <w:bCs/>
          <w:color w:val="1F5F8B"/>
          <w:sz w:val="30"/>
          <w:szCs w:val="30"/>
        </w:rPr>
        <w:t xml:space="preserve">A. Profesionalisme Medis: Physician Charter dan Konsep Itqan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"Sesungguhnya Allah mencintai seseorang yang apabila melakukan suatu pekerjaan, ia melakukannya dengan itqan (penuh kesungguhan, ketelitian, dan kualitas terbaik)." Itqan bukan hanya standar profesional eksternal; ia adalah bentuk ibadah yang lahir dari motivasi internal karena Allah.</w:t>
            </w:r>
          </w:p>
          <w:p>
            <w:pPr>
              <w:spacing w:after="50" w:before="20"/>
              <w:jc w:val="center"/>
            </w:pPr>
            <w:r>
              <w:rPr>
                <w:rFonts w:ascii="Arial" w:cs="Arial" w:eastAsia="Arial" w:hAnsi="Arial"/>
                <w:color w:val="8B6914"/>
                <w:sz w:val="18"/>
                <w:szCs w:val="18"/>
              </w:rPr>
              <w:t xml:space="preserve">— HR. al-Thabrani dalam al-Mu'jam al-Awsath; dinilai hasan oleh al-Albani</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ABIM Foundation, ACP-ASIM Foundation, &amp; European Federation of Internal Medicine (2002) dalam Medical Professionalism in the New Millennium: A Physician Charter mengidentifikasi tiga prinsip fundamental profesionalisme: (1) Primacy of patient welfare — kepentingan pasien selalu prioritas utama; (2) Patient autonomy — menghormati dan mendukung otonomi pasien; (3) Social justice — mempromosikan keadilan dalam distribusi sumber daya kesehatan. Di Indonesia, SKDI 2012 menempatkan Area Kompetensi 1 (Profesionalisme, Mawas Diri, dan Pengembangan Diri) sebagai fondasi pertama dari tujuh area kompetensi.</w:t>
      </w:r>
    </w:p>
    <w:p>
      <w:pPr>
        <w:spacing w:after="140" w:before="100" w:line="380" w:lineRule="auto"/>
        <w:jc w:val="both"/>
      </w:pPr>
      <w:r>
        <w:rPr>
          <w:rFonts w:ascii="Arial" w:cs="Arial" w:eastAsia="Arial" w:hAnsi="Arial"/>
          <w:color w:val="1C2833"/>
          <w:sz w:val="22"/>
          <w:szCs w:val="22"/>
        </w:rPr>
        <w:t xml:space="preserve">Konsep itqan memberikan dimensi teologis yang kuat bagi standar profesionalisme: melakukan pekerjaan dengan kesungguhan, ketelitian, dan kualitas terbaik bukan sekadar memenuhi standar minimum, tetapi wujud kecintaan kepada Allah. Seorang dokter yang itqan tidak akan memberikan perawatan berkualitas rendah hanya karena pasiennya tidak mampu membayar lebih atau karena tidak ada supervisor yang mengawasi.</w:t>
      </w:r>
    </w:p>
    <w:p>
      <w:pPr>
        <w:pStyle w:val="Heading2"/>
        <w:spacing w:after="140" w:before="300"/>
      </w:pPr>
      <w:r>
        <w:rPr>
          <w:rFonts w:ascii="Arial" w:cs="Arial" w:eastAsia="Arial" w:hAnsi="Arial"/>
          <w:b/>
          <w:bCs/>
          <w:color w:val="1F5F8B"/>
          <w:sz w:val="30"/>
          <w:szCs w:val="30"/>
        </w:rPr>
        <w:t xml:space="preserve">B. Kepemimpinan Klinis dan Ukhuwah dalam Kolaborasi Interprofesional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"Sesungguhnya orang-orang mukmin itu bersaudara (ukhuwah)." (QS. Al-Hujurat: 10). Ukhuwah Islamiyah yang mencakup sesama profesional kesehatan adalah landasan teologis yang kuat bagi kolaborasi interprofesional yang sehat — mengutamakan kepentingan pasien di atas ego profesi.</w:t>
            </w:r>
          </w:p>
          <w:p>
            <w:pPr>
              <w:spacing w:after="50" w:before="20"/>
              <w:jc w:val="center"/>
            </w:pPr>
            <w:r>
              <w:rPr>
                <w:rFonts w:ascii="Arial" w:cs="Arial" w:eastAsia="Arial" w:hAnsi="Arial"/>
                <w:color w:val="8B6914"/>
                <w:sz w:val="18"/>
                <w:szCs w:val="18"/>
              </w:rPr>
              <w:t xml:space="preserve">— QS. Al-Hujurat (49): 10</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WHO (2010) dalam Framework for Action on Interprofessional Education and Collaborative Practice mengakui kolaborasi interprofesional sebagai strategi kunci meningkatkan kualitas dan keamanan layanan. West et al. (2015) mendefinisikan kepemimpinan kolektif yang efektif dalam layanan kesehatan sebagai kondisi di mana semua staf merasa bertanggung jawab untuk keberhasilan seluruh organisasi. Dalam sistem layanan kesehatan Indonesia, kolaborasi efektif antara dokter umum, spesialis, perawat, bidan, apoteker, dan ahli gizi adalah kunci keberhasilan perawatan komprehensif.</w:t>
      </w:r>
    </w:p>
    <w:p>
      <w:pPr>
        <w:pStyle w:val="Heading2"/>
        <w:spacing w:after="140" w:before="300"/>
      </w:pPr>
      <w:r>
        <w:rPr>
          <w:rFonts w:ascii="Arial" w:cs="Arial" w:eastAsia="Arial" w:hAnsi="Arial"/>
          <w:b/>
          <w:bCs/>
          <w:color w:val="1F5F8B"/>
          <w:sz w:val="30"/>
          <w:szCs w:val="30"/>
        </w:rPr>
        <w:t xml:space="preserve">C. Dokter sebagai Pendidik dan Da'i Kesehatan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"Ajaklah (manusia) ke jalan Tuhanmu dengan hikmah dan pelajaran yang baik." (QS. An-Nahl: 125). Dakwah bil hikmah dalam konteks kesehatan adalah edukasi pasien yang bijaksana, mempertimbangkan kesiapan dan konteks pasien — selaras dengan teknik teach-back dan motivational framing dalam edukasi pasien modern.</w:t>
            </w:r>
          </w:p>
          <w:p>
            <w:pPr>
              <w:spacing w:after="50" w:before="20"/>
              <w:jc w:val="center"/>
            </w:pPr>
            <w:r>
              <w:rPr>
                <w:rFonts w:ascii="Arial" w:cs="Arial" w:eastAsia="Arial" w:hAnsi="Arial"/>
                <w:color w:val="8B6914"/>
                <w:sz w:val="18"/>
                <w:szCs w:val="18"/>
              </w:rPr>
              <w:t xml:space="preserve">— QS. An-Nahl (16): 125</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Ottawa Charter for Health Promotion (WHO, 1986) mendefinisikan health promotion yang melampaui sekadar health education: mencakup perubahan lingkungan sosial yang memungkinkan perilaku sehat. Edukasi pasien yang efektif mensyaratkan: asesmen baseline (memahami pengetahuan dan keyakinan pasien saat ini), personalisasi pesan, teknik teach-back untuk memverifikasi pemahaman, dan motivational framing — menghubungkan pesan dengan nilai-nilai yang penting bagi pasien secara personal. Bagi dokter Muslim, prinsip dakwah bil hikmah memberikan kerangka metodologis yang sangat relevan: mengajak dengan bijaksana, mempertimbangkan kesiapan dan konteks pasien.</w:t>
      </w:r>
    </w:p>
    <w:p>
      <w:pPr>
        <w:pStyle w:val="Heading2"/>
        <w:spacing w:after="140" w:before="300"/>
      </w:pPr>
      <w:r>
        <w:rPr>
          <w:rFonts w:ascii="Arial" w:cs="Arial" w:eastAsia="Arial" w:hAnsi="Arial"/>
          <w:b/>
          <w:bCs/>
          <w:color w:val="1F5F8B"/>
          <w:sz w:val="30"/>
          <w:szCs w:val="30"/>
        </w:rPr>
        <w:t xml:space="preserve">D. Pengembangan Profesional Berkelanjutan (P2KB/CPD)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katakanlah: Ya Tuhanku, tambahkanlah kepadaku ilmu pengetahuan." (QS. Thaha: 114). Doa yang Allah ajarkan kepada Nabi-Nya menegaskan bahwa pencarian ilmu adalah proses yang tidak pernah selesai — kewajiban seumur hidup yang berlaku penuh bagi setiap dokter.</w:t>
            </w:r>
          </w:p>
          <w:p>
            <w:pPr>
              <w:spacing w:after="50" w:before="20"/>
              <w:jc w:val="center"/>
            </w:pPr>
            <w:r>
              <w:rPr>
                <w:rFonts w:ascii="Arial" w:cs="Arial" w:eastAsia="Arial" w:hAnsi="Arial"/>
                <w:color w:val="8B6914"/>
                <w:sz w:val="18"/>
                <w:szCs w:val="18"/>
              </w:rPr>
              <w:t xml:space="preserve">— QS. Thaha (20): 114</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Program Pendidikan Kedokteran Berkelanjutan (P2KB) dioperasionalkan melalui sistem Satuan Kredit Profesi (SKP) IDI sebagai syarat perpanjangan Surat Tanda Registrasi (STR) setiap lima tahun. World Federation for Medical Education (WFME, 2015) merekomendasikan reflective CPD yang direncanakan berdasarkan identifikasi kebutuhan pembelajaran individual melalui refleksi pada praktik klinis, dikombinasikan dengan beragam metode pembelajaran: journal club, diskusi kasus, simulasi, audit klinis, dan peer learning. Muhasabah — mengevaluasi diri secara jujur dan regular — adalah instrumen CPD yang sangat efektif dalam tradisi Islam.</w:t>
      </w:r>
    </w:p>
    <w:p>
      <w:pPr>
        <w:pStyle w:val="Heading2"/>
        <w:spacing w:after="140" w:before="300"/>
      </w:pPr>
      <w:r>
        <w:rPr>
          <w:rFonts w:ascii="Arial" w:cs="Arial" w:eastAsia="Arial" w:hAnsi="Arial"/>
          <w:b/>
          <w:bCs/>
          <w:color w:val="1F5F8B"/>
          <w:sz w:val="30"/>
          <w:szCs w:val="30"/>
        </w:rPr>
        <w:t xml:space="preserve">E. Dokter dalam Sistem JKN: Tantangan, Tanggung Jawab, dan Ibadah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"Barangsiapa meringankan kesulitan seorang mukmin di dunia, Allah akan meringankan kesulitannya di hari kiamat." (HR. Muslim No. 2699). Hadits ini memberikan motivasi spiritual yang kuat bagi dokter yang melayani pasien kurang mampu dalam sistem JKN.</w:t>
            </w:r>
          </w:p>
          <w:p>
            <w:pPr>
              <w:spacing w:after="50" w:before="20"/>
              <w:jc w:val="center"/>
            </w:pPr>
            <w:r>
              <w:rPr>
                <w:rFonts w:ascii="Arial" w:cs="Arial" w:eastAsia="Arial" w:hAnsi="Arial"/>
                <w:color w:val="8B6914"/>
                <w:sz w:val="18"/>
                <w:szCs w:val="18"/>
              </w:rPr>
              <w:t xml:space="preserve">— HR. Muslim No. 2699</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Jaminan Kesehatan Nasional (JKN) yang diluncurkan 1 Januari 2014 diimplementasikan berdasarkan UU No. 40 Tahun 2004 tentang SJSN dan UU No. 24 Tahun 2011 tentang BPJS. Dengan lebih dari 270 juta peserta pada tahun 2023, JKN adalah program jaminan kesehatan universal terbesar di dunia. UU No. 17 Tahun 2023 tentang Kesehatan memperkuat posisi JKN dengan mengintegrasikan prinsip universal health coverage sebagai arah kebijakan nasional. Dokter umum di FKTP adalah ujung tombak JKN. Sistem kapitasi mendorong pencegahan dan manajemen penyakit kronis yang proaktif, tetapi juga menciptakan risiko under-service yang hanya dapat dicegah oleh integritas profesional yang kokoh.</w:t>
      </w:r>
    </w:p>
    <w:p>
      <w:pPr>
        <w:pStyle w:val="Heading2"/>
        <w:spacing w:after="140" w:before="300"/>
      </w:pPr>
      <w:r>
        <w:rPr>
          <w:rFonts w:ascii="Arial" w:cs="Arial" w:eastAsia="Arial" w:hAnsi="Arial"/>
          <w:b/>
          <w:bCs/>
          <w:color w:val="1F5F8B"/>
          <w:sz w:val="30"/>
          <w:szCs w:val="30"/>
        </w:rPr>
        <w:t xml:space="preserve">F. Visi: Membangun Kedokteran Indonesia yang Bermartabat dan Berkah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"Sebaik-baik manusia adalah yang paling bermanfaat bagi manusia lainnya." Visi dokter Indonesia 2045 adalah dokter yang tidak hanya kompeten secara teknis tetapi juga unggul dalam dimensi humanistik dan akhlak — membawa berkah bagi pasien, keluarga, komunitas, dan profesi.</w:t>
            </w:r>
          </w:p>
          <w:p>
            <w:pPr>
              <w:spacing w:after="50" w:before="20"/>
              <w:jc w:val="center"/>
            </w:pPr>
            <w:r>
              <w:rPr>
                <w:rFonts w:ascii="Arial" w:cs="Arial" w:eastAsia="Arial" w:hAnsi="Arial"/>
                <w:color w:val="8B6914"/>
                <w:sz w:val="18"/>
                <w:szCs w:val="18"/>
              </w:rPr>
              <w:t xml:space="preserve">— HR. Ahmad; dinilai hasan oleh al-Albani</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Kini terdapat lebih dari 80 program studi pendidikan dokter di seluruh Indonesia dengan lebih dari 100.000 dokter aktif berpraktik. Namun rasio dokter per 100.000 penduduk masih di bawah standar WHO, dan distribusinya sangat tidak merata. Visi kedokteran Indonesia 2045 mencakup: ketersediaan dokter merata di seluruh wilayah, universal coverage layanan primer melalui JKN, kurikulum yang mengintegrasikan kompetensi humanistik sebagai kompetensi inti, dan profil dokter Indonesia yang diakui secara global. Bagi lulusan UIN, visi ini memiliki dimensi istimewa: menjadi thabib rabbani yang membawa berkah — di mana keahlian medis yang dikuasai dengan itqan dipadukan dengan akhlak Islami yang kokoh.</w:t>
      </w:r>
    </w:p>
    <w:p>
      <w:pPr>
        <w:spacing w:after="100" w:before="0"/>
      </w:pPr>
      <w:r>
        <w:t xml:space="preserve"/>
      </w:r>
    </w:p>
    <w:p>
      <w:pPr>
        <w:spacing w:after="80" w:before="160"/>
        <w:jc w:val="both"/>
      </w:pPr>
      <w:r>
        <w:rPr>
          <w:rFonts w:ascii="Arial" w:cs="Arial" w:eastAsia="Arial" w:hAnsi="Arial"/>
          <w:b/>
          <w:bCs/>
          <w:color w:val="1A3A5C"/>
          <w:sz w:val="22"/>
          <w:szCs w:val="22"/>
        </w:rPr>
        <w:t xml:space="preserve">DAFTAR REFERENSI BAB 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C3C7" w:sz="6"/>
              <w:left w:val="single" w:color="BDC3C7" w:sz="6"/>
              <w:bottom w:val="single" w:color="BDC3C7" w:sz="6"/>
              <w:right w:val="single" w:color="BDC3C7" w:sz="6"/>
            </w:tcBorders>
            <w:shd w:fill="F8F9FA" w:val="clear"/>
            <w:tcMar>
              <w:top w:type="dxa" w:w="180"/>
              <w:left w:type="dxa" w:w="240"/>
              <w:bottom w:type="dxa" w:w="180"/>
              <w:right w:type="dxa" w:w="240"/>
            </w:tcMar>
          </w:tcPr>
          <w:p>
            <w:pPr>
              <w:spacing w:after="50" w:before="50"/>
              <w:ind w:left="500" w:hanging="500"/>
            </w:pPr>
            <w:r>
              <w:rPr>
                <w:rFonts w:ascii="Arial" w:cs="Arial" w:eastAsia="Arial" w:hAnsi="Arial"/>
                <w:color w:val="1C2833"/>
                <w:sz w:val="18"/>
                <w:szCs w:val="18"/>
              </w:rPr>
              <w:t xml:space="preserve">1. ABIM Foundation, ACP-ASIM Foundation, &amp; European Federation of Internal Medicine. (2002). Medical professionalism in the new millennium: A physician charter. Annals of Internal Medicine, 136(3), 243-246. https://doi.org/10.7326/0003-4819-136-3-200202050-00012</w:t>
            </w:r>
          </w:p>
          <w:p>
            <w:pPr>
              <w:spacing w:after="50" w:before="50"/>
              <w:ind w:left="500" w:hanging="500"/>
            </w:pPr>
            <w:r>
              <w:rPr>
                <w:rFonts w:ascii="Arial" w:cs="Arial" w:eastAsia="Arial" w:hAnsi="Arial"/>
                <w:color w:val="1C2833"/>
                <w:sz w:val="18"/>
                <w:szCs w:val="18"/>
              </w:rPr>
              <w:t xml:space="preserve">2. Konsil Kedokteran Indonesia. (2012). Standar Kompetensi Dokter Indonesia. KKI.</w:t>
            </w:r>
          </w:p>
          <w:p>
            <w:pPr>
              <w:spacing w:after="50" w:before="50"/>
              <w:ind w:left="500" w:hanging="500"/>
            </w:pPr>
            <w:r>
              <w:rPr>
                <w:rFonts w:ascii="Arial" w:cs="Arial" w:eastAsia="Arial" w:hAnsi="Arial"/>
                <w:color w:val="1C2833"/>
                <w:sz w:val="18"/>
                <w:szCs w:val="18"/>
              </w:rPr>
              <w:t xml:space="preserve">3. Undang-Undang Republik Indonesia Nomor 17 Tahun 2023 tentang Kesehatan. Sekretariat Negara RI. https://peraturan.bpk.go.id/Details/245483</w:t>
            </w:r>
          </w:p>
          <w:p>
            <w:pPr>
              <w:spacing w:after="50" w:before="50"/>
              <w:ind w:left="500" w:hanging="500"/>
            </w:pPr>
            <w:r>
              <w:rPr>
                <w:rFonts w:ascii="Arial" w:cs="Arial" w:eastAsia="Arial" w:hAnsi="Arial"/>
                <w:color w:val="1C2833"/>
                <w:sz w:val="18"/>
                <w:szCs w:val="18"/>
              </w:rPr>
              <w:t xml:space="preserve">4. Undang-Undang Republik Indonesia Nomor 24 Tahun 2011 tentang Badan Penyelenggara Jaminan Sosial. https://peraturan.bpk.go.id/Details/39352</w:t>
            </w:r>
          </w:p>
          <w:p>
            <w:pPr>
              <w:spacing w:after="50" w:before="50"/>
              <w:ind w:left="500" w:hanging="500"/>
            </w:pPr>
            <w:r>
              <w:rPr>
                <w:rFonts w:ascii="Arial" w:cs="Arial" w:eastAsia="Arial" w:hAnsi="Arial"/>
                <w:color w:val="1C2833"/>
                <w:sz w:val="18"/>
                <w:szCs w:val="18"/>
              </w:rPr>
              <w:t xml:space="preserve">5. Undang-Undang Republik Indonesia Nomor 40 Tahun 2004 tentang Sistem Jaminan Sosial Nasional. https://peraturan.bpk.go.id/Details/40448</w:t>
            </w:r>
          </w:p>
          <w:p>
            <w:pPr>
              <w:spacing w:after="50" w:before="50"/>
              <w:ind w:left="500" w:hanging="500"/>
            </w:pPr>
            <w:r>
              <w:rPr>
                <w:rFonts w:ascii="Arial" w:cs="Arial" w:eastAsia="Arial" w:hAnsi="Arial"/>
                <w:color w:val="1C2833"/>
                <w:sz w:val="18"/>
                <w:szCs w:val="18"/>
              </w:rPr>
              <w:t xml:space="preserve">6. West, M., Eckert, R., Steward, K., &amp; Pasmore, W. (2015). Developing Collective Leadership for Health Care. The King's Fund.</w:t>
            </w:r>
          </w:p>
          <w:p>
            <w:pPr>
              <w:spacing w:after="50" w:before="50"/>
              <w:ind w:left="500" w:hanging="500"/>
            </w:pPr>
            <w:r>
              <w:rPr>
                <w:rFonts w:ascii="Arial" w:cs="Arial" w:eastAsia="Arial" w:hAnsi="Arial"/>
                <w:color w:val="1C2833"/>
                <w:sz w:val="18"/>
                <w:szCs w:val="18"/>
              </w:rPr>
              <w:t xml:space="preserve">7. World Federation for Medical Education. (2015). Basic Medical Education: WFME Global Standards for Quality Improvement (2015 Revision). WFME. https://wfme.org/standards/</w:t>
            </w:r>
          </w:p>
          <w:p>
            <w:pPr>
              <w:spacing w:after="50" w:before="50"/>
              <w:ind w:left="500" w:hanging="500"/>
            </w:pPr>
            <w:r>
              <w:rPr>
                <w:rFonts w:ascii="Arial" w:cs="Arial" w:eastAsia="Arial" w:hAnsi="Arial"/>
                <w:color w:val="1C2833"/>
                <w:sz w:val="18"/>
                <w:szCs w:val="18"/>
              </w:rPr>
              <w:t xml:space="preserve">8. World Health Organization. (1986). Ottawa Charter for Health Promotion. WHO. https://www.who.int/teams/health-promotion/enhanced-wellbeing/first-global-conference</w:t>
            </w:r>
          </w:p>
          <w:p>
            <w:pPr>
              <w:spacing w:after="50" w:before="50"/>
              <w:ind w:left="500" w:hanging="500"/>
            </w:pPr>
            <w:r>
              <w:rPr>
                <w:rFonts w:ascii="Arial" w:cs="Arial" w:eastAsia="Arial" w:hAnsi="Arial"/>
                <w:color w:val="1C2833"/>
                <w:sz w:val="18"/>
                <w:szCs w:val="18"/>
              </w:rPr>
              <w:t xml:space="preserve">9. World Health Organization. (2010). Framework for Action on Interprofessional Education and Collaborative Practice. WHO. https://www.who.int/publications/i/item/framework-for-action-on-interprofessional-education-collaborative-practice</w:t>
            </w:r>
          </w:p>
        </w:tc>
      </w:tr>
    </w:tbl>
    <w:p>
      <w:r>
        <w:br w:type="page"/>
      </w:r>
    </w:p>
    <w:p>
      <w:pPr>
        <w:pStyle w:val="Heading1"/>
        <w:spacing w:after="220" w:before="440"/>
      </w:pPr>
      <w:r>
        <w:rPr>
          <w:rFonts w:ascii="Arial" w:cs="Arial" w:eastAsia="Arial" w:hAnsi="Arial"/>
          <w:b/>
          <w:bCs/>
          <w:color w:val="1A3A5C"/>
          <w:sz w:val="40"/>
          <w:szCs w:val="40"/>
        </w:rPr>
        <w:t xml:space="preserve">BAB 8: AKHLAK SEBAGAI SUMBER KEMANUSIAAN TERTINGGI
DALAM KEDOKTERAN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A3A5C" w:sz="12"/>
              <w:left w:val="single" w:color="1A3A5C" w:sz="12"/>
              <w:bottom w:val="single" w:color="1A3A5C" w:sz="12"/>
              <w:right w:val="single" w:color="1A3A5C" w:sz="12"/>
            </w:tcBorders>
            <w:shd w:fill="F4F6F7" w:val="clear"/>
            <w:tcMar>
              <w:top w:type="dxa" w:w="180"/>
              <w:left w:type="dxa" w:w="260"/>
              <w:bottom w:type="dxa" w:w="180"/>
              <w:right w:type="dxa" w:w="260"/>
            </w:tcMar>
          </w:tcPr>
          <w:p>
            <w:pPr>
              <w:spacing w:after="120" w:before="0"/>
              <w:jc w:val="center"/>
            </w:pPr>
            <w:r>
              <w:rPr>
                <w:rFonts w:ascii="Arial" w:cs="Arial" w:eastAsia="Arial" w:hAnsi="Arial"/>
                <w:b/>
                <w:bCs/>
                <w:color w:val="1A3A5C"/>
                <w:sz w:val="24"/>
                <w:szCs w:val="24"/>
              </w:rPr>
              <w:t xml:space="preserve">TUJUAN PEMBELAJARAN</w:t>
            </w:r>
          </w:p>
          <w:p>
            <w:pPr>
              <w:spacing w:after="40" w:before="60"/>
            </w:pPr>
            <w:r>
              <w:rPr>
                <w:rFonts w:ascii="Arial" w:cs="Arial" w:eastAsia="Arial" w:hAnsi="Arial"/>
                <w:b/>
                <w:bCs/>
                <w:color w:val="0E7C7B"/>
                <w:sz w:val="20"/>
                <w:szCs w:val="20"/>
              </w:rPr>
              <w:t xml:space="preserve">🎯 Kognitif:</w:t>
            </w:r>
          </w:p>
          <w:p>
            <w:pPr>
              <w:spacing w:after="80" w:before="20"/>
            </w:pPr>
            <w:r>
              <w:rPr>
                <w:rFonts w:ascii="Arial" w:cs="Arial" w:eastAsia="Arial" w:hAnsi="Arial"/>
                <w:color w:val="1C2833"/>
                <w:sz w:val="20"/>
                <w:szCs w:val="20"/>
              </w:rPr>
              <w:t xml:space="preserve">Mahasiswa mampu menjelaskan perbedaan mendasar antara akhlak, budi pekerti, moral, etika, dan hukum berdasarkan kerangka hierarki norma Siswanto (2026); menganalisis posisi akhlak sebagai norma sui generis yang bersumber dari wahyu ilahi; serta mendeskripsikan paradoks normatif: dokter yang etis-legal namun belum tentu berakhlak.</w:t>
            </w:r>
          </w:p>
          <w:p>
            <w:pPr>
              <w:spacing w:after="40" w:before="60"/>
            </w:pPr>
            <w:r>
              <w:rPr>
                <w:rFonts w:ascii="Arial" w:cs="Arial" w:eastAsia="Arial" w:hAnsi="Arial"/>
                <w:b/>
                <w:bCs/>
                <w:color w:val="0E7C7B"/>
                <w:sz w:val="20"/>
                <w:szCs w:val="20"/>
              </w:rPr>
              <w:t xml:space="preserve">🔧 Psikomotor:</w:t>
            </w:r>
          </w:p>
          <w:p>
            <w:pPr>
              <w:spacing w:after="80" w:before="20"/>
            </w:pPr>
            <w:r>
              <w:rPr>
                <w:rFonts w:ascii="Arial" w:cs="Arial" w:eastAsia="Arial" w:hAnsi="Arial"/>
                <w:color w:val="1C2833"/>
                <w:sz w:val="20"/>
                <w:szCs w:val="20"/>
              </w:rPr>
              <w:t xml:space="preserve">Mahasiswa mampu mengaplikasikan hierarki norma dalam evaluasi skenario klinis nyata; menyusun refleksi tertulis tentang niat dan motivasi tindakan klinis dari perspektif akhlak; dan mendemonstrasikan perbedaan layanan yang sekadar etis-legal versus yang berakhlak dalam simulasi klinis.</w:t>
            </w:r>
          </w:p>
          <w:p>
            <w:pPr>
              <w:spacing w:after="40" w:before="60"/>
            </w:pPr>
            <w:r>
              <w:rPr>
                <w:rFonts w:ascii="Arial" w:cs="Arial" w:eastAsia="Arial" w:hAnsi="Arial"/>
                <w:b/>
                <w:bCs/>
                <w:color w:val="0E7C7B"/>
                <w:sz w:val="20"/>
                <w:szCs w:val="20"/>
              </w:rPr>
              <w:t xml:space="preserve">💡 Afektif:</w:t>
            </w:r>
          </w:p>
          <w:p>
            <w:pPr>
              <w:spacing w:after="40" w:before="20"/>
            </w:pPr>
            <w:r>
              <w:rPr>
                <w:rFonts w:ascii="Arial" w:cs="Arial" w:eastAsia="Arial" w:hAnsi="Arial"/>
                <w:color w:val="1C2833"/>
                <w:sz w:val="20"/>
                <w:szCs w:val="20"/>
              </w:rPr>
              <w:t xml:space="preserve">Mahasiswa mengembangkan kesadaran bahwa sumber kebaikan tertinggi adalah akhlak yang bersumber dari wahyu; menunjukkan niat ikhlas lillahi ta'ala dalam merawat pasien; dan membangun identitas sebagai dokter yang berakhlak karena tanggung jawab kepada Allah, bukan sekadar karena kode etik atau takut sanksi.</w:t>
            </w:r>
          </w:p>
        </w:tc>
      </w:tr>
    </w:tbl>
    <w:p>
      <w:pPr>
        <w:spacing w:after="100" w:before="0"/>
      </w:pPr>
      <w:r>
        <w:t xml:space="preserve"/>
      </w:r>
    </w:p>
    <w:p>
      <w:pPr>
        <w:pStyle w:val="Heading2"/>
        <w:spacing w:after="140" w:before="300"/>
      </w:pPr>
      <w:r>
        <w:rPr>
          <w:rFonts w:ascii="Arial" w:cs="Arial" w:eastAsia="Arial" w:hAnsi="Arial"/>
          <w:b/>
          <w:bCs/>
          <w:color w:val="1F5F8B"/>
          <w:sz w:val="30"/>
          <w:szCs w:val="30"/>
        </w:rPr>
        <w:t xml:space="preserve">A. Mengapa Etika Profesi Saja Tidak Cukup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"Sesungguhnya aku diutus hanya untuk menyempurnakan akhlak yang mulia (makaarim al-akhlaq)." Sabda Nabi ini menegaskan bahwa Islam hadir bukan sekadar menambahkan aturan baru, melainkan untuk menyempurnakan akhlak — dimensi karakter yang melampaui semua sistem norma manusiawi.</w:t>
            </w:r>
          </w:p>
          <w:p>
            <w:pPr>
              <w:spacing w:after="50" w:before="20"/>
              <w:jc w:val="center"/>
            </w:pPr>
            <w:r>
              <w:rPr>
                <w:rFonts w:ascii="Arial" w:cs="Arial" w:eastAsia="Arial" w:hAnsi="Arial"/>
                <w:color w:val="8B6914"/>
                <w:sz w:val="18"/>
                <w:szCs w:val="18"/>
              </w:rPr>
              <w:t xml:space="preserve">— HR. Ahmad, al-Bazzar, al-Hakim; disahihkan al-Albani dalam as-Silsilah ash-Shahihah No. 45</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Seluruh tujuh bab sebelumnya telah membangun fondasi yang sangat penting. Namun ada pertanyaan yang harus dihadapi dengan jujur: apakah seorang dokter yang memahami keempat prinsip bioetika Beauchamp &amp; Childress, menguasai protokol SPIKES, dan memenuhi semua persyaratan P2KB sudah cukup menjamin bahwa ia adalah dokter yang benar-benar baik?</w:t>
      </w:r>
    </w:p>
    <w:p>
      <w:pPr>
        <w:spacing w:after="140" w:before="100" w:line="380" w:lineRule="auto"/>
        <w:jc w:val="both"/>
      </w:pPr>
      <w:r>
        <w:rPr>
          <w:rFonts w:ascii="Arial" w:cs="Arial" w:eastAsia="Arial" w:hAnsi="Arial"/>
          <w:color w:val="1C2833"/>
          <w:sz w:val="22"/>
          <w:szCs w:val="22"/>
        </w:rPr>
        <w:t xml:space="preserve">Dari perspektif yang lebih fundamental, jawabannya adalah belum tentu. Semua pengetahuan, keterampilan, dan kepatuhan terhadap aturan yang disebutkan di atas adalah produk manusia — hasil perenungan dan konsensus komunitas akademis dan profesi. Mereka sangat berharga. Namun ada sumber kebaikan yang lebih tinggi, lebih dalam, lebih abadi, dan lebih mutlak: akhlak yang bersumber dari wahyu ilahi.</w:t>
      </w:r>
    </w:p>
    <w:p>
      <w:pPr>
        <w:spacing w:after="80" w:before="160"/>
        <w:jc w:val="both"/>
      </w:pPr>
      <w:r>
        <w:rPr>
          <w:rFonts w:ascii="Arial" w:cs="Arial" w:eastAsia="Arial" w:hAnsi="Arial"/>
          <w:b/>
          <w:bCs/>
          <w:color w:val="1A3A5C"/>
          <w:sz w:val="22"/>
          <w:szCs w:val="22"/>
        </w:rPr>
        <w:t xml:space="preserve">Lima Norma Perilaku Manusia: Sebuah Taksonomi</w:t>
      </w:r>
    </w:p>
    <w:p>
      <w:pPr>
        <w:spacing w:after="140" w:before="100" w:line="380" w:lineRule="auto"/>
        <w:jc w:val="both"/>
      </w:pPr>
      <w:r>
        <w:rPr>
          <w:rFonts w:ascii="Arial" w:cs="Arial" w:eastAsia="Arial" w:hAnsi="Arial"/>
          <w:color w:val="1C2833"/>
          <w:sz w:val="22"/>
          <w:szCs w:val="22"/>
        </w:rPr>
        <w:t xml:space="preserve">Siswanto (2026) dalam 'Melampaui Kepatuhan: Hierarki Norma Manusia dari Akhlak, Budi Pekerti, Moral, Etika, hingga Hukum' (Perpustakaan Digital ABBA, Malang) mengidentifikasi perbedaan mendasar kelima konsep normatif: Hukum adalah norma paling eksternal — aturan negara dengan sanksi paksaan. Etika adalah norma reflektif-kritis hasil penalaran filosofis yang dikodifikasikan dalam KODEKI. Budi pekerti adalah norma kultural-internal yang bersumber dari kearifan tradisi Nusantara. Moral adalah norma berbasis akal dan nurani — lebih universal namun tetap konstruk manusiawi. Akhlak adalah norma tertinggi yang bersumber dari wahyu Allah SWT melalui Al-Qur'an dan Sunnah Nabi Muhammad SAW: absolut, universal, dan transendental.</w:t>
      </w:r>
    </w:p>
    <w:p>
      <w:pPr>
        <w:pStyle w:val="Heading2"/>
        <w:spacing w:after="140" w:before="300"/>
      </w:pPr>
      <w:r>
        <w:rPr>
          <w:rFonts w:ascii="Arial" w:cs="Arial" w:eastAsia="Arial" w:hAnsi="Arial"/>
          <w:b/>
          <w:bCs/>
          <w:color w:val="1F5F8B"/>
          <w:sz w:val="30"/>
          <w:szCs w:val="30"/>
        </w:rPr>
        <w:t xml:space="preserve">B. Akhlak: Norma Sui Generis yang Bersumber dari Wahyu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"Ilmu tanpa akhlak adalah senjata di tangan perampok; akhlak tanpa ilmu adalah lentera di tangan orang buta." Pernyataan Al-Ghazali ini menangkap paradoks sentral pendidikan kedokteran: kompetensi teknis tanpa akhlak adalah berbahaya; akhlak mulia tanpa kompetensi tidak dapat menolong secara efektif.</w:t>
            </w:r>
          </w:p>
          <w:p>
            <w:pPr>
              <w:spacing w:after="50" w:before="20"/>
              <w:jc w:val="center"/>
            </w:pPr>
            <w:r>
              <w:rPr>
                <w:rFonts w:ascii="Arial" w:cs="Arial" w:eastAsia="Arial" w:hAnsi="Arial"/>
                <w:color w:val="8B6914"/>
                <w:sz w:val="18"/>
                <w:szCs w:val="18"/>
              </w:rPr>
              <w:t xml:space="preserve">— Imam Al-Ghazali, Ihya' Ulumiddin</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Imam Al-Ghazali (w. 505 H/1111 M) dalam Ihya' Ulumiddin mendefinisikan akhlak sebagai 'suatu sifat yang tertanam dalam jiwa, yang dari sifat itu timbul perbuatan-perbuatan dengan mudah dan gampang, tanpa memerlukan pertimbangan dan pemikiran.' Definisi ini mengandung kunci pemahaman yang sangat penting. Etika profesi mensyaratkan pertimbangan aktif: mengidentifikasi prinsip yang relevan, menimbang berbagai pertimbangan, lalu memutuskan. Akhlak berbeda fundamental: ia tidak memerlukan pertimbangan karena telah menjadi disposisi jiwa yang stabil — karakter yang menghasilkan tindakan baik secara natural, spontan, dan konsisten.</w:t>
      </w:r>
    </w:p>
    <w:p>
      <w:pPr>
        <w:spacing w:after="80" w:before="160"/>
        <w:jc w:val="both"/>
      </w:pPr>
      <w:r>
        <w:rPr>
          <w:rFonts w:ascii="Arial" w:cs="Arial" w:eastAsia="Arial" w:hAnsi="Arial"/>
          <w:b/>
          <w:bCs/>
          <w:color w:val="1A3A5C"/>
          <w:sz w:val="22"/>
          <w:szCs w:val="22"/>
        </w:rPr>
        <w:t xml:space="preserve">Dimensi Vertikal Akhlak: Apa yang Tidak Dimiliki Norma Lain</w:t>
      </w:r>
    </w:p>
    <w:p>
      <w:pPr>
        <w:spacing w:after="140" w:before="100" w:line="380" w:lineRule="auto"/>
        <w:jc w:val="both"/>
      </w:pPr>
      <w:r>
        <w:rPr>
          <w:rFonts w:ascii="Arial" w:cs="Arial" w:eastAsia="Arial" w:hAnsi="Arial"/>
          <w:color w:val="1C2833"/>
          <w:sz w:val="22"/>
          <w:szCs w:val="22"/>
        </w:rPr>
        <w:t xml:space="preserve">Yang paling fundamental membedakan akhlak dari semua norma lainnya adalah dimensi vertikalnya — hubungannya dengan Allah SWT. Hukum, etika, budi pekerti, dan moral semuanya berdimensi horizontal. Hanya akhlak yang memiliki dimensi vertikal: seorang dokter yang berakhlak menyadari bahwa ia bertanggung jawab langsung kepada Allah atas setiap tindakannya. Al-Qur'an menyebutkan berbagai akhlak yang relevan bagi praktik kedokteran: kejujuran (QS. At-Taubah: 119), keadilan (QS. An-Nisa: 135), amanah (QS. Al-Anfal: 27), kasih sayang (QS. Al-Hujurat: 10), dan ihsan (QS. An-Nahl: 90).</w:t>
      </w:r>
    </w:p>
    <w:p>
      <w:pPr>
        <w:pStyle w:val="Heading2"/>
        <w:spacing w:after="140" w:before="300"/>
      </w:pPr>
      <w:r>
        <w:rPr>
          <w:rFonts w:ascii="Arial" w:cs="Arial" w:eastAsia="Arial" w:hAnsi="Arial"/>
          <w:b/>
          <w:bCs/>
          <w:color w:val="1F5F8B"/>
          <w:sz w:val="30"/>
          <w:szCs w:val="30"/>
        </w:rPr>
        <w:t xml:space="preserve">C. Paradoks Normatif: Dokter yang Etis dan Legal namun Belum Tentu Berakhlak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"Manusia yang hanya takut pada hukum adalah budak. Manusia yang takut pada moralnya sendiri adalah warga negara. Namun manusia yang takut pada Tuhannya — itulah manusia yang benar-benar merdeka." Adaptasi ini menangkap perbedaan mendasar antara kepatuhan eksternal dan akhlak internal yang bersumber dari taqwa.</w:t>
            </w:r>
          </w:p>
          <w:p>
            <w:pPr>
              <w:spacing w:after="50" w:before="20"/>
              <w:jc w:val="center"/>
            </w:pPr>
            <w:r>
              <w:rPr>
                <w:rFonts w:ascii="Arial" w:cs="Arial" w:eastAsia="Arial" w:hAnsi="Arial"/>
                <w:color w:val="8B6914"/>
                <w:sz w:val="18"/>
                <w:szCs w:val="18"/>
              </w:rPr>
              <w:t xml:space="preserve">— Adaptasi dari Montesquieu, dikontekstualisasikan dalam perspektif taqwa</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Pertimbangkan dua dokter. Dokter A sangat teliti memenuhi persyaratan formal: informed consent selalu ditandatangani, rekam medis selalu terisi, SKP selalu terpenuhi. Namun ia memberikan penjelasan minimal kepada pasien BPJS untuk menghemat waktu, dan sesekali merekomendasikan pemeriksaan yang tidak sepenuhnya diperlukan secara klinis. Dokter B meluangkan waktu yang sama untuk pasien BPJS maupun pasien yang membayar penuh. Ketika terjadi komplikasi, ia mengakuinya secara tulus — bukan karena takut dituntut, melainkan karena kejujuran adalah standar minimalnya. Secara legal dan etis formal, keduanya mungkin mendapat evaluasi serupa. Namun dari perspektif akhlak, keduanya berada di dimensi yang sangat berbeda.</w:t>
      </w:r>
    </w:p>
    <w:p>
      <w:pPr>
        <w:spacing w:after="140" w:before="100" w:line="380" w:lineRule="auto"/>
        <w:jc w:val="both"/>
      </w:pPr>
      <w:r>
        <w:rPr>
          <w:rFonts w:ascii="Arial" w:cs="Arial" w:eastAsia="Arial" w:hAnsi="Arial"/>
          <w:color w:val="1C2833"/>
          <w:sz w:val="22"/>
          <w:szCs w:val="22"/>
        </w:rPr>
        <w:t xml:space="preserve">Monin &amp; Miller (2001) menjelaskan fenomena moral licensing: kepatuhan formal terhadap standar etika dalam satu domain dapat justru menjadi justifikasi psikologis untuk berperilaku kurang etis dalam domain lain. Seorang yang merasa telah 'berbuat baik' dengan mematuhi prosedur mungkin merasa berhak untuk kurang peduli dalam dimensi yang tidak tercakup prosedur tersebut. Muraqabatullah — kesadaran konstan bahwa Allah mengawasi — adalah satu-satunya motivasi yang konsisten dan tidak dapat terkorupsi oleh moral licensing.</w:t>
      </w:r>
    </w:p>
    <w:p>
      <w:pPr>
        <w:pStyle w:val="Heading2"/>
        <w:spacing w:after="140" w:before="300"/>
      </w:pPr>
      <w:r>
        <w:rPr>
          <w:rFonts w:ascii="Arial" w:cs="Arial" w:eastAsia="Arial" w:hAnsi="Arial"/>
          <w:b/>
          <w:bCs/>
          <w:color w:val="1F5F8B"/>
          <w:sz w:val="30"/>
          <w:szCs w:val="30"/>
        </w:rPr>
        <w:t xml:space="preserve">D. Akhlak Dokter dalam Perspektif Al-Qur'an dan Sunnah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"Dan sesungguhnya engkau (Muhammad) benar-benar berbudi pekerti yang agung." (QS. Al-Qalam: 4). Teladan Nabi Muhammad SAW dalam berinteraksi dengan orang-orang yang sakit dan menderita adalah model tertinggi dari apa yang ingin kita capai sebagai dokter yang berakhlak.</w:t>
            </w:r>
          </w:p>
          <w:p>
            <w:pPr>
              <w:spacing w:after="50" w:before="20"/>
              <w:jc w:val="center"/>
            </w:pPr>
            <w:r>
              <w:rPr>
                <w:rFonts w:ascii="Arial" w:cs="Arial" w:eastAsia="Arial" w:hAnsi="Arial"/>
                <w:color w:val="8B6914"/>
                <w:sz w:val="18"/>
                <w:szCs w:val="18"/>
              </w:rPr>
              <w:t xml:space="preserve">— QS. Al-Qalam (68): 4</w:t>
            </w:r>
          </w:p>
        </w:tc>
      </w:tr>
    </w:tbl>
    <w:p>
      <w:pPr>
        <w:spacing w:after="100" w:before="0"/>
      </w:pPr>
      <w:r>
        <w:t xml:space="preserve"/>
      </w:r>
    </w:p>
    <w:p>
      <w:pPr>
        <w:spacing w:after="80" w:before="160"/>
        <w:jc w:val="both"/>
      </w:pPr>
      <w:r>
        <w:rPr>
          <w:rFonts w:ascii="Arial" w:cs="Arial" w:eastAsia="Arial" w:hAnsi="Arial"/>
          <w:b/>
          <w:bCs/>
          <w:color w:val="1A3A5C"/>
          <w:sz w:val="22"/>
          <w:szCs w:val="22"/>
        </w:rPr>
        <w:t xml:space="preserve">Amanah sebagai Fondasi Akhlak Klinis</w:t>
      </w:r>
    </w:p>
    <w:p>
      <w:pPr>
        <w:spacing w:after="140" w:before="100" w:line="380" w:lineRule="auto"/>
        <w:jc w:val="both"/>
      </w:pPr>
      <w:r>
        <w:rPr>
          <w:rFonts w:ascii="Arial" w:cs="Arial" w:eastAsia="Arial" w:hAnsi="Arial"/>
          <w:color w:val="1C2833"/>
          <w:sz w:val="22"/>
          <w:szCs w:val="22"/>
        </w:rPr>
        <w:t xml:space="preserve">Al-Qur'an tegas: 'Sesungguhnya Allah menyuruh kamu menyampaikan amanat kepada yang berhak menerimanya' (QS. An-Nisa: 58). Pengkhianatan amanah dalam konteks klinis dapat terjadi dalam bentuk yang sangat halus: merekomendasikan pemeriksaan yang tidak perlu secara klinis, tidak jujur tentang komplikasi yang terjadi, atau memberikan perawatan tidak optimal karena pasien menggunakan BPJS.</w:t>
      </w:r>
    </w:p>
    <w:p>
      <w:pPr>
        <w:spacing w:after="80" w:before="160"/>
        <w:jc w:val="both"/>
      </w:pPr>
      <w:r>
        <w:rPr>
          <w:rFonts w:ascii="Arial" w:cs="Arial" w:eastAsia="Arial" w:hAnsi="Arial"/>
          <w:b/>
          <w:bCs/>
          <w:color w:val="1A3A5C"/>
          <w:sz w:val="22"/>
          <w:szCs w:val="22"/>
        </w:rPr>
        <w:t xml:space="preserve">Ihsan: Standar Melampaui Minimum</w:t>
      </w:r>
    </w:p>
    <w:p>
      <w:pPr>
        <w:spacing w:after="140" w:before="100" w:line="380" w:lineRule="auto"/>
        <w:jc w:val="both"/>
      </w:pPr>
      <w:r>
        <w:rPr>
          <w:rFonts w:ascii="Arial" w:cs="Arial" w:eastAsia="Arial" w:hAnsi="Arial"/>
          <w:color w:val="1C2833"/>
          <w:sz w:val="22"/>
          <w:szCs w:val="22"/>
        </w:rPr>
        <w:t xml:space="preserve">'Sesungguhnya Allah mewajibkan ihsan dalam segala sesuatu' (HR. Muslim No. 1955). Ihsan dalam konteks klinis berarti: hadir penuh dalam setiap konsultasi meskipun lelah, mendengarkan narasi pasien dengan perhatian yang genuine, meluangkan waktu ekstra untuk memastikan pasien benar-benar memahami rencana perawatannya, dan terus memperbaiki kualitas praktik meskipun tidak ada yang mewajibkan.</w:t>
      </w:r>
    </w:p>
    <w:p>
      <w:pPr>
        <w:spacing w:after="80" w:before="160"/>
        <w:jc w:val="both"/>
      </w:pPr>
      <w:r>
        <w:rPr>
          <w:rFonts w:ascii="Arial" w:cs="Arial" w:eastAsia="Arial" w:hAnsi="Arial"/>
          <w:b/>
          <w:bCs/>
          <w:color w:val="1A3A5C"/>
          <w:sz w:val="22"/>
          <w:szCs w:val="22"/>
        </w:rPr>
        <w:t xml:space="preserve">Tawadhu: Kerendahan Hati sebagai Pelindung dari Kesombongan Klinis</w:t>
      </w:r>
    </w:p>
    <w:p>
      <w:pPr>
        <w:spacing w:after="140" w:before="100" w:line="380" w:lineRule="auto"/>
        <w:jc w:val="both"/>
      </w:pPr>
      <w:r>
        <w:rPr>
          <w:rFonts w:ascii="Arial" w:cs="Arial" w:eastAsia="Arial" w:hAnsi="Arial"/>
          <w:color w:val="1C2833"/>
          <w:sz w:val="22"/>
          <w:szCs w:val="22"/>
        </w:rPr>
        <w:t xml:space="preserve">Tawadhu berarti: mengakui keterbatasan kompetensi diri, mau mendengarkan narasi pasien dengan sepenuh hati, tidak segan merujuk ketika kasus melampaui kompetensi, dan mengakui kesalahan secara terbuka ketika terjadi komplikasi. Tawadhu juga berarti menyadari bahwa kemampuan klinis yang dimiliki adalah karunia Allah, bukan sesuatu yang dimiliki sendiri.</w:t>
      </w:r>
    </w:p>
    <w:p>
      <w:pPr>
        <w:pStyle w:val="Heading2"/>
        <w:spacing w:after="140" w:before="300"/>
      </w:pPr>
      <w:r>
        <w:rPr>
          <w:rFonts w:ascii="Arial" w:cs="Arial" w:eastAsia="Arial" w:hAnsi="Arial"/>
          <w:b/>
          <w:bCs/>
          <w:color w:val="1F5F8B"/>
          <w:sz w:val="30"/>
          <w:szCs w:val="30"/>
        </w:rPr>
        <w:t xml:space="preserve">E. Membangun Akhlak: Dari Kepatuhan Menuju Karakter (Tazkiyatun Nafs)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"Tidaklah ada sesuatu yang lebih berat dalam timbangan (amal) seorang mukmin pada hari kiamat selain akhlak yang mulia." Hadits ini menempatkan akhlak mulia — bukan ibadah ritual semata, bukan pencapaian akademis, bukan status sosial — sebagai yang paling berat dan paling bernilai di hadapan Allah.</w:t>
            </w:r>
          </w:p>
          <w:p>
            <w:pPr>
              <w:spacing w:after="50" w:before="20"/>
              <w:jc w:val="center"/>
            </w:pPr>
            <w:r>
              <w:rPr>
                <w:rFonts w:ascii="Arial" w:cs="Arial" w:eastAsia="Arial" w:hAnsi="Arial"/>
                <w:color w:val="8B6914"/>
                <w:sz w:val="18"/>
                <w:szCs w:val="18"/>
              </w:rPr>
              <w:t xml:space="preserve">— HR. al-Tirmidzi No. 2002; disahihkan al-Albani</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Al-Ghazali (t.t.) menggambarkan proses pembentukan akhlak dalam empat tahap: takhalli (membersihkan diri dari akhlak buruk), tahalli (menghiasi diri dengan akhlak mulia), mujahadah (perjuangan berkelanjutan melawan hawa nafsu), dan tajalli (manifestasi spontan akhlak mulia dalam seluruh aspek kehidupan). Ibn Miskawaih (978 H/1978) dalam Tahdhib al-Akhlaq menegaskan bahwa akhlak dapat dilatih dan dikembangkan melalui proses yang disengaja — pandangan yang dikonfirmasi penelitian kontemporer dalam psikologi karakter.</w:t>
      </w:r>
    </w:p>
    <w:p>
      <w:pPr>
        <w:spacing w:after="80" w:before="160"/>
        <w:jc w:val="both"/>
      </w:pPr>
      <w:r>
        <w:rPr>
          <w:rFonts w:ascii="Arial" w:cs="Arial" w:eastAsia="Arial" w:hAnsi="Arial"/>
          <w:b/>
          <w:bCs/>
          <w:color w:val="1A3A5C"/>
          <w:sz w:val="22"/>
          <w:szCs w:val="22"/>
        </w:rPr>
        <w:t xml:space="preserve">Muhasabah: Akuntabilitas Diri yang Melampaui Audit Eksternal</w:t>
      </w:r>
    </w:p>
    <w:p>
      <w:pPr>
        <w:spacing w:after="140" w:before="100" w:line="380" w:lineRule="auto"/>
        <w:jc w:val="both"/>
      </w:pPr>
      <w:r>
        <w:rPr>
          <w:rFonts w:ascii="Arial" w:cs="Arial" w:eastAsia="Arial" w:hAnsi="Arial"/>
          <w:color w:val="1C2833"/>
          <w:sz w:val="22"/>
          <w:szCs w:val="22"/>
        </w:rPr>
        <w:t xml:space="preserve">Muhasabah berarti bertanya kepada diri sendiri secara jujur dan regular: Apakah hari ini saya memperlakukan setiap pasien dengan standar yang sama? Apakah ada pasien yang saya layani dengan setengah hati? Apakah ada informasi yang saya sembunyikan dari pasien? Apakah ada keputusan klinis yang dipengaruhi kepentingan finansial di atas kepentingan klinis pasien? Muhasabah yang jujur dan regular adalah instrumen pengembangan akhlak yang jauh lebih efektif dari sekadar menghadiri seminar etika.</w:t>
      </w:r>
    </w:p>
    <w:p>
      <w:pPr>
        <w:pStyle w:val="Heading2"/>
        <w:spacing w:after="140" w:before="300"/>
      </w:pPr>
      <w:r>
        <w:rPr>
          <w:rFonts w:ascii="Arial" w:cs="Arial" w:eastAsia="Arial" w:hAnsi="Arial"/>
          <w:b/>
          <w:bCs/>
          <w:color w:val="1F5F8B"/>
          <w:sz w:val="30"/>
          <w:szCs w:val="30"/>
        </w:rPr>
        <w:t xml:space="preserve">F. Sintesis: Piramida Nilai dalam Kedokteran yang Manusiawi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"Hierarki ini tidak berarti norma yang lebih tinggi menggantikan yang lebih rendah. Seseorang yang berakhlak mulia seharusnya juga bermoral, beretika, berbudi pekerti, dan taat hukum. Akhlak adalah mahkota norma, bukan penggantinya."</w:t>
            </w:r>
          </w:p>
          <w:p>
            <w:pPr>
              <w:spacing w:after="50" w:before="20"/>
              <w:jc w:val="center"/>
            </w:pPr>
            <w:r>
              <w:rPr>
                <w:rFonts w:ascii="Arial" w:cs="Arial" w:eastAsia="Arial" w:hAnsi="Arial"/>
                <w:color w:val="8B6914"/>
                <w:sz w:val="18"/>
                <w:szCs w:val="18"/>
              </w:rPr>
              <w:t xml:space="preserve">— Siswanto (2026), Melampaui Kepatuhan</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Piramida Nilai Dokter yang Utuh terdiri dari lima level yang bersifat inklusif (bukan substitutif): Level 1 — Hukum: kepatuhan terhadap UU No. 17 Tahun 2023, KODEKI, Permenkes No. 24/2022, Permenkes No. 290/2008. Syarat minimum yang tidak bisa ditawar. Level 2 — Etika Profesi: penerapan aktif empat prinsip bioetika Beauchamp &amp; Childress (2019), informed consent bermakna dengan teknik teach-back, four-boxes method Jonsen et al. (2015) untuk dilema etis. Level 3 — Budi Pekerti dan Komunikasi Humanistik: empati klinis aktif (Zinn, 1993; Mercer &amp; Reynolds, 2002), keterampilan komunikasi berbasis Calgary-Cambridge (Silverman et al., 2005), sensitivitas budaya. Level 4 — Moral dan Profesionalisme: integritas konsisten tanpa pengawasan, kepedulian tulus, komitmen aktif pada keadilan sosial (Physician Charter, 2002). Level 5 (Puncak) — Akhlak: niat ikhlas lillahi ta'ala, kesadaran muraqabah, standar ihsan melampaui minimum, muhasabah regular, dan tazkiyatun nafs sebagai proses pembentukan karakter seumur hidup.</w:t>
      </w:r>
    </w:p>
    <w:p>
      <w:pPr>
        <w:spacing w:after="140" w:before="100" w:line="380" w:lineRule="auto"/>
        <w:jc w:val="both"/>
      </w:pPr>
      <w:r>
        <w:rPr>
          <w:rFonts w:ascii="Arial" w:cs="Arial" w:eastAsia="Arial" w:hAnsi="Arial"/>
          <w:color w:val="1C2833"/>
          <w:sz w:val="22"/>
          <w:szCs w:val="22"/>
        </w:rPr>
        <w:t xml:space="preserve">Relasi antar level adalah inklusi: AKHLAK ⊃ MORAL ⊃ BUDI PEKERTI ⊃ ETIKA ⊃ HUKUM. Seorang dokter yang berakhlak secara otomatis juga taat hukum, etis, berbudi pekerti, dan bermoral. Namun tidak berlaku sebaliknya. Inilah thabib rabbani — dokter yang utuh dalam arti paling dalam dan paling sejati.</w:t>
      </w:r>
    </w:p>
    <w:p>
      <w:pPr>
        <w:spacing w:after="100" w:before="0"/>
      </w:pPr>
      <w:r>
        <w:t xml:space="preserve"/>
      </w:r>
    </w:p>
    <w:p>
      <w:pPr>
        <w:spacing w:after="80" w:before="160"/>
        <w:jc w:val="both"/>
      </w:pPr>
      <w:r>
        <w:rPr>
          <w:rFonts w:ascii="Arial" w:cs="Arial" w:eastAsia="Arial" w:hAnsi="Arial"/>
          <w:b/>
          <w:bCs/>
          <w:color w:val="1A3A5C"/>
          <w:sz w:val="22"/>
          <w:szCs w:val="22"/>
        </w:rPr>
        <w:t xml:space="preserve">DAFTAR REFERENSI BAB 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C3C7" w:sz="6"/>
              <w:left w:val="single" w:color="BDC3C7" w:sz="6"/>
              <w:bottom w:val="single" w:color="BDC3C7" w:sz="6"/>
              <w:right w:val="single" w:color="BDC3C7" w:sz="6"/>
            </w:tcBorders>
            <w:shd w:fill="F8F9FA" w:val="clear"/>
            <w:tcMar>
              <w:top w:type="dxa" w:w="180"/>
              <w:left w:type="dxa" w:w="240"/>
              <w:bottom w:type="dxa" w:w="180"/>
              <w:right w:type="dxa" w:w="240"/>
            </w:tcMar>
          </w:tcPr>
          <w:p>
            <w:pPr>
              <w:spacing w:after="50" w:before="50"/>
              <w:ind w:left="500" w:hanging="500"/>
            </w:pPr>
            <w:r>
              <w:rPr>
                <w:rFonts w:ascii="Arial" w:cs="Arial" w:eastAsia="Arial" w:hAnsi="Arial"/>
                <w:color w:val="1C2833"/>
                <w:sz w:val="18"/>
                <w:szCs w:val="18"/>
              </w:rPr>
              <w:t xml:space="preserve">1. Al-Qur'an al-Karim. Kementerian Agama Republik Indonesia. https://quran.kemenag.go.id</w:t>
            </w:r>
          </w:p>
          <w:p>
            <w:pPr>
              <w:spacing w:after="50" w:before="50"/>
              <w:ind w:left="500" w:hanging="500"/>
            </w:pPr>
            <w:r>
              <w:rPr>
                <w:rFonts w:ascii="Arial" w:cs="Arial" w:eastAsia="Arial" w:hAnsi="Arial"/>
                <w:color w:val="1C2833"/>
                <w:sz w:val="18"/>
                <w:szCs w:val="18"/>
              </w:rPr>
              <w:t xml:space="preserve">2. Hadits diutusnya Nabi untuk menyempurnakan akhlak mulia. HR. Ahmad, al-Bazzar, al-Hakim. Disahihkan al-Albani dalam: as-Silsilah ash-Shahihah, No. 45.</w:t>
            </w:r>
          </w:p>
          <w:p>
            <w:pPr>
              <w:spacing w:after="50" w:before="50"/>
              <w:ind w:left="500" w:hanging="500"/>
            </w:pPr>
            <w:r>
              <w:rPr>
                <w:rFonts w:ascii="Arial" w:cs="Arial" w:eastAsia="Arial" w:hAnsi="Arial"/>
                <w:color w:val="1C2833"/>
                <w:sz w:val="18"/>
                <w:szCs w:val="18"/>
              </w:rPr>
              <w:t xml:space="preserve">3. Hadits kewajiban ihsan dalam segala sesuatu. HR. Muslim, Shahih Muslim, No. 1955.</w:t>
            </w:r>
          </w:p>
          <w:p>
            <w:pPr>
              <w:spacing w:after="50" w:before="50"/>
              <w:ind w:left="500" w:hanging="500"/>
            </w:pPr>
            <w:r>
              <w:rPr>
                <w:rFonts w:ascii="Arial" w:cs="Arial" w:eastAsia="Arial" w:hAnsi="Arial"/>
                <w:color w:val="1C2833"/>
                <w:sz w:val="18"/>
                <w:szCs w:val="18"/>
              </w:rPr>
              <w:t xml:space="preserve">4. Hadits bobot akhlak mulia dalam timbangan amal. HR. al-Tirmidzi, Sunan al-Tirmidzi, No. 2002. Disahihkan al-Albani.</w:t>
            </w:r>
          </w:p>
          <w:p>
            <w:pPr>
              <w:spacing w:after="50" w:before="50"/>
              <w:ind w:left="500" w:hanging="500"/>
            </w:pPr>
            <w:r>
              <w:rPr>
                <w:rFonts w:ascii="Arial" w:cs="Arial" w:eastAsia="Arial" w:hAnsi="Arial"/>
                <w:color w:val="1C2833"/>
                <w:sz w:val="18"/>
                <w:szCs w:val="18"/>
              </w:rPr>
              <w:t xml:space="preserve">5. Al-Ghazali, A. H. M. (t.t.). Ihya' Ulumiddin (Jilid III). Dar al-Kutub al-Ilmiyah.</w:t>
            </w:r>
          </w:p>
          <w:p>
            <w:pPr>
              <w:spacing w:after="50" w:before="50"/>
              <w:ind w:left="500" w:hanging="500"/>
            </w:pPr>
            <w:r>
              <w:rPr>
                <w:rFonts w:ascii="Arial" w:cs="Arial" w:eastAsia="Arial" w:hAnsi="Arial"/>
                <w:color w:val="1C2833"/>
                <w:sz w:val="18"/>
                <w:szCs w:val="18"/>
              </w:rPr>
              <w:t xml:space="preserve">6. Ibn Miskawaih, A. A. A. (1978). Tahdhib al-Akhlaq wa Tath-hir al-A'raq. Mansyurat Dar Maktabat al-Hayah.</w:t>
            </w:r>
          </w:p>
          <w:p>
            <w:pPr>
              <w:spacing w:after="50" w:before="50"/>
              <w:ind w:left="500" w:hanging="500"/>
            </w:pPr>
            <w:r>
              <w:rPr>
                <w:rFonts w:ascii="Arial" w:cs="Arial" w:eastAsia="Arial" w:hAnsi="Arial"/>
                <w:color w:val="1C2833"/>
                <w:sz w:val="18"/>
                <w:szCs w:val="18"/>
              </w:rPr>
              <w:t xml:space="preserve">7. Ibn Qayyim al-Jawziyyah. (751 H/1998). Al-Tibb al-Nabawi (Tahqiq: 'Abd al-Ghani 'Abd al-Khaliq). Dar Ibn al-Jauzi, Riyadh.</w:t>
            </w:r>
          </w:p>
          <w:p>
            <w:pPr>
              <w:spacing w:after="50" w:before="50"/>
              <w:ind w:left="500" w:hanging="500"/>
            </w:pPr>
            <w:r>
              <w:rPr>
                <w:rFonts w:ascii="Arial" w:cs="Arial" w:eastAsia="Arial" w:hAnsi="Arial"/>
                <w:color w:val="1C2833"/>
                <w:sz w:val="18"/>
                <w:szCs w:val="18"/>
              </w:rPr>
              <w:t xml:space="preserve">8. Siswanto, B. (2026). Melampaui Kepatuhan: Hierarki Norma Manusia dari Akhlak, Budi Pekerti, Moral, Etika, hingga Hukum. Perpustakaan Digital ABBA, Jl. Kerinci Raya No. 9 Malang 65138.</w:t>
            </w:r>
          </w:p>
          <w:p>
            <w:pPr>
              <w:spacing w:after="50" w:before="50"/>
              <w:ind w:left="500" w:hanging="500"/>
            </w:pPr>
            <w:r>
              <w:rPr>
                <w:rFonts w:ascii="Arial" w:cs="Arial" w:eastAsia="Arial" w:hAnsi="Arial"/>
                <w:color w:val="1C2833"/>
                <w:sz w:val="18"/>
                <w:szCs w:val="18"/>
              </w:rPr>
              <w:t xml:space="preserve">9. Haidt, J. (2012). The Righteous Mind: Why Good People Are Divided by Politics and Religion. Pantheon Books.</w:t>
            </w:r>
          </w:p>
          <w:p>
            <w:pPr>
              <w:spacing w:after="50" w:before="50"/>
              <w:ind w:left="500" w:hanging="500"/>
            </w:pPr>
            <w:r>
              <w:rPr>
                <w:rFonts w:ascii="Arial" w:cs="Arial" w:eastAsia="Arial" w:hAnsi="Arial"/>
                <w:color w:val="1C2833"/>
                <w:sz w:val="18"/>
                <w:szCs w:val="18"/>
              </w:rPr>
              <w:t xml:space="preserve">10. Monin, B., &amp; Miller, D. T. (2001). Moral credentials and the expression of prejudice. Journal of Personality and Social Psychology, 81(1), 33-43. https://doi.org/10.1037/0022-3514.81.1.33</w:t>
            </w:r>
          </w:p>
          <w:p>
            <w:pPr>
              <w:spacing w:after="50" w:before="50"/>
              <w:ind w:left="500" w:hanging="500"/>
            </w:pPr>
            <w:r>
              <w:rPr>
                <w:rFonts w:ascii="Arial" w:cs="Arial" w:eastAsia="Arial" w:hAnsi="Arial"/>
                <w:color w:val="1C2833"/>
                <w:sz w:val="18"/>
                <w:szCs w:val="18"/>
              </w:rPr>
              <w:t xml:space="preserve">11. Beauchamp, T. L., &amp; Childress, J. F. (2019). Principles of Biomedical Ethics (8th ed.). Oxford University Press.</w:t>
            </w:r>
          </w:p>
          <w:p>
            <w:pPr>
              <w:spacing w:after="50" w:before="50"/>
              <w:ind w:left="500" w:hanging="500"/>
            </w:pPr>
            <w:r>
              <w:rPr>
                <w:rFonts w:ascii="Arial" w:cs="Arial" w:eastAsia="Arial" w:hAnsi="Arial"/>
                <w:color w:val="1C2833"/>
                <w:sz w:val="18"/>
                <w:szCs w:val="18"/>
              </w:rPr>
              <w:t xml:space="preserve">12. Sachedina, A. (2009). Islamic Biomedical Ethics: Principles and Application. Oxford University Press.</w:t>
            </w:r>
          </w:p>
        </w:tc>
      </w:tr>
    </w:tbl>
    <w:p>
      <w:r>
        <w:br w:type="page"/>
      </w:r>
    </w:p>
    <w:p>
      <w:pPr>
        <w:pStyle w:val="Heading1"/>
        <w:spacing w:after="220" w:before="440"/>
      </w:pPr>
      <w:r>
        <w:rPr>
          <w:rFonts w:ascii="Arial" w:cs="Arial" w:eastAsia="Arial" w:hAnsi="Arial"/>
          <w:b/>
          <w:bCs/>
          <w:color w:val="1A3A5C"/>
          <w:sz w:val="40"/>
          <w:szCs w:val="40"/>
        </w:rPr>
        <w:t xml:space="preserve">BAB 9: BELAJAR DENGAN HATI DAN TANGAN
— SKENARIO, STUDI KASUS, DAN LATIHAN REFLEKSI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A3A5C" w:sz="12"/>
              <w:left w:val="single" w:color="1A3A5C" w:sz="12"/>
              <w:bottom w:val="single" w:color="1A3A5C" w:sz="12"/>
              <w:right w:val="single" w:color="1A3A5C" w:sz="12"/>
            </w:tcBorders>
            <w:shd w:fill="F4F6F7" w:val="clear"/>
            <w:tcMar>
              <w:top w:type="dxa" w:w="180"/>
              <w:left w:type="dxa" w:w="260"/>
              <w:bottom w:type="dxa" w:w="180"/>
              <w:right w:type="dxa" w:w="260"/>
            </w:tcMar>
          </w:tcPr>
          <w:p>
            <w:pPr>
              <w:spacing w:after="120" w:before="0"/>
              <w:jc w:val="center"/>
            </w:pPr>
            <w:r>
              <w:rPr>
                <w:rFonts w:ascii="Arial" w:cs="Arial" w:eastAsia="Arial" w:hAnsi="Arial"/>
                <w:b/>
                <w:bCs/>
                <w:color w:val="1A3A5C"/>
                <w:sz w:val="24"/>
                <w:szCs w:val="24"/>
              </w:rPr>
              <w:t xml:space="preserve">TUJUAN PEMBELAJARAN</w:t>
            </w:r>
          </w:p>
          <w:p>
            <w:pPr>
              <w:spacing w:after="40" w:before="60"/>
            </w:pPr>
            <w:r>
              <w:rPr>
                <w:rFonts w:ascii="Arial" w:cs="Arial" w:eastAsia="Arial" w:hAnsi="Arial"/>
                <w:b/>
                <w:bCs/>
                <w:color w:val="0E7C7B"/>
                <w:sz w:val="20"/>
                <w:szCs w:val="20"/>
              </w:rPr>
              <w:t xml:space="preserve">🎯 Kognitif:</w:t>
            </w:r>
          </w:p>
          <w:p>
            <w:pPr>
              <w:spacing w:after="80" w:before="20"/>
            </w:pPr>
            <w:r>
              <w:rPr>
                <w:rFonts w:ascii="Arial" w:cs="Arial" w:eastAsia="Arial" w:hAnsi="Arial"/>
                <w:color w:val="1C2833"/>
                <w:sz w:val="20"/>
                <w:szCs w:val="20"/>
              </w:rPr>
              <w:t xml:space="preserve">Mahasiswa mampu mengidentifikasi dimensi manusiawi dan tidak manusiawi dalam skenario klinis nyata menggunakan kerangka dari bab-bab sebelumnya termasuk perspektif akhlak; menganalisis dilema etis menggunakan perspektif berlapis (hukum, etika, moral, akhlak); dan menghubungkan konsep teoritis dengan situasi praktis konkret.</w:t>
            </w:r>
          </w:p>
          <w:p>
            <w:pPr>
              <w:spacing w:after="40" w:before="60"/>
            </w:pPr>
            <w:r>
              <w:rPr>
                <w:rFonts w:ascii="Arial" w:cs="Arial" w:eastAsia="Arial" w:hAnsi="Arial"/>
                <w:b/>
                <w:bCs/>
                <w:color w:val="0E7C7B"/>
                <w:sz w:val="20"/>
                <w:szCs w:val="20"/>
              </w:rPr>
              <w:t xml:space="preserve">🔧 Psikomotor:</w:t>
            </w:r>
          </w:p>
          <w:p>
            <w:pPr>
              <w:spacing w:after="80" w:before="20"/>
            </w:pPr>
            <w:r>
              <w:rPr>
                <w:rFonts w:ascii="Arial" w:cs="Arial" w:eastAsia="Arial" w:hAnsi="Arial"/>
                <w:color w:val="1C2833"/>
                <w:sz w:val="20"/>
                <w:szCs w:val="20"/>
              </w:rPr>
              <w:t xml:space="preserve">Mahasiswa mampu menyelesaikan latihan kasus terstruktur secara mandiri dan mendiskusikannya dalam kelompok; menulis muhasabah tertulis yang menghubungkan pengalaman nyata dengan kerangka humanistik dan akhlak; serta melakukan role-play yang mendemonstrasikan perbedaan layanan etis-legal versus yang berakhlak.</w:t>
            </w:r>
          </w:p>
          <w:p>
            <w:pPr>
              <w:spacing w:after="40" w:before="60"/>
            </w:pPr>
            <w:r>
              <w:rPr>
                <w:rFonts w:ascii="Arial" w:cs="Arial" w:eastAsia="Arial" w:hAnsi="Arial"/>
                <w:b/>
                <w:bCs/>
                <w:color w:val="0E7C7B"/>
                <w:sz w:val="20"/>
                <w:szCs w:val="20"/>
              </w:rPr>
              <w:t xml:space="preserve">💡 Afektif:</w:t>
            </w:r>
          </w:p>
          <w:p>
            <w:pPr>
              <w:spacing w:after="40" w:before="20"/>
            </w:pPr>
            <w:r>
              <w:rPr>
                <w:rFonts w:ascii="Arial" w:cs="Arial" w:eastAsia="Arial" w:hAnsi="Arial"/>
                <w:color w:val="1C2833"/>
                <w:sz w:val="20"/>
                <w:szCs w:val="20"/>
              </w:rPr>
              <w:t xml:space="preserve">Mahasiswa mengembangkan kebiasaan muhasabah aktif dalam setiap pengalaman klinis; menunjukkan tawadhu intelektual dalam mendiskusikan kasus yang mengandung dilema moral; dan membangun empati yang semakin dalam melalui latihan menghayati pengalaman pasien dari sudut pandang pasiennya.</w:t>
            </w:r>
          </w:p>
        </w:tc>
      </w:tr>
    </w:tbl>
    <w:p>
      <w:pPr>
        <w:spacing w:after="100" w:before="0"/>
      </w:pPr>
      <w:r>
        <w:t xml:space="preserve"/>
      </w:r>
    </w:p>
    <w:p>
      <w:pPr>
        <w:pStyle w:val="Heading2"/>
        <w:spacing w:after="140" w:before="300"/>
      </w:pPr>
      <w:r>
        <w:rPr>
          <w:rFonts w:ascii="Arial" w:cs="Arial" w:eastAsia="Arial" w:hAnsi="Arial"/>
          <w:b/>
          <w:bCs/>
          <w:color w:val="1F5F8B"/>
          <w:sz w:val="30"/>
          <w:szCs w:val="30"/>
        </w:rPr>
        <w:t xml:space="preserve">A. Petunjuk Penggunaan Bab Ini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"Saya dengar, saya lupa. Saya lihat, saya ingat. Saya kerjakan, saya paham." Prinsip pedagogis ini selaras dengan tradisi keilmuan Islam yang menekankan amal sebagai penyempurna ilmu: al-'ilmu bila 'amalin kasysyajari bila tsamar (ilmu tanpa amal seperti pohon tanpa buah).</w:t>
            </w:r>
          </w:p>
          <w:p>
            <w:pPr>
              <w:spacing w:after="50" w:before="20"/>
              <w:jc w:val="center"/>
            </w:pPr>
            <w:r>
              <w:rPr>
                <w:rFonts w:ascii="Arial" w:cs="Arial" w:eastAsia="Arial" w:hAnsi="Arial"/>
                <w:color w:val="8B6914"/>
                <w:sz w:val="18"/>
                <w:szCs w:val="18"/>
              </w:rPr>
              <w:t xml:space="preserve">— Konfusius; selaras dengan ungkapan keilmuan Islam klasik</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Hafferty &amp; Franks (1994) dalam Academic Medicine membuktikan bahwa pembelajaran berbasis kasus yang melibatkan dimensi etis menghasilkan pembentukan karakter yang lebih efektif daripada perkuliahan etika formal yang bersifat ceramah. Bab ini dirancang berdasarkan prinsip ini. Tiga jenis aktivitas: (1) Lima Skenario Naratif — cerita klinis pendek di berbagai setting layanan kesehatan Indonesia. Kunci jawaban di Lampiran A. (2) Tiga Studi Kasus Komprehensif — kasus lebih kompleks dengan pertanyaan analitis bertingkat. Kunci di Lampiran B. (3) Lima Latihan Refleksi dan Muhasabah Pribadi — tidak ada jawaban benar atau salah, hanya refleksi jujur. Panduan di Lampiran C.</w:t>
      </w:r>
    </w:p>
    <w:p>
      <w:pPr>
        <w:pStyle w:val="Heading2"/>
        <w:spacing w:after="140" w:before="300"/>
      </w:pPr>
      <w:r>
        <w:rPr>
          <w:rFonts w:ascii="Arial" w:cs="Arial" w:eastAsia="Arial" w:hAnsi="Arial"/>
          <w:b/>
          <w:bCs/>
          <w:color w:val="1F5F8B"/>
          <w:sz w:val="30"/>
          <w:szCs w:val="30"/>
        </w:rPr>
        <w:t xml:space="preserve">B. Lima Skenario Naratif Klinis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"Empati dimulai dari imajinasi yang sadar dan disengaja. Bayangkan kamu adalah pasien itu: apa yang kamu rasakan, apa yang kamu butuhkan, apa yang kamu takutkan?" Latihan ini selaras dengan prinsip Islam: mencintai saudara sebagaimana mencintai diri sendiri (HR. Bukhari No. 13).</w:t>
            </w:r>
          </w:p>
          <w:p>
            <w:pPr>
              <w:spacing w:after="50" w:before="20"/>
              <w:jc w:val="center"/>
            </w:pPr>
            <w:r>
              <w:rPr>
                <w:rFonts w:ascii="Arial" w:cs="Arial" w:eastAsia="Arial" w:hAnsi="Arial"/>
                <w:color w:val="8B6914"/>
                <w:sz w:val="18"/>
                <w:szCs w:val="18"/>
              </w:rPr>
              <w:t xml:space="preserve">— Refleksi pedagogis</w:t>
            </w:r>
          </w:p>
        </w:tc>
      </w:tr>
    </w:tbl>
    <w:p>
      <w:pPr>
        <w:spacing w:after="100" w:before="0"/>
      </w:pPr>
      <w:r>
        <w:t xml:space="preserve"/>
      </w:r>
    </w:p>
    <w:p>
      <w:pPr>
        <w:spacing w:after="80" w:before="160"/>
        <w:jc w:val="both"/>
      </w:pPr>
      <w:r>
        <w:rPr>
          <w:rFonts w:ascii="Arial" w:cs="Arial" w:eastAsia="Arial" w:hAnsi="Arial"/>
          <w:b/>
          <w:bCs/>
          <w:color w:val="1A3A5C"/>
          <w:sz w:val="22"/>
          <w:szCs w:val="22"/>
        </w:rPr>
        <w:t xml:space="preserve">SKENARIO 1: "Tiga Menit yang Mengubah Segalanya"</w:t>
      </w:r>
    </w:p>
    <w:p>
      <w:pPr>
        <w:spacing w:after="140" w:before="100" w:line="380" w:lineRule="auto"/>
        <w:jc w:val="both"/>
      </w:pPr>
      <w:r>
        <w:rPr>
          <w:rFonts w:ascii="Arial" w:cs="Arial" w:eastAsia="Arial" w:hAnsi="Arial"/>
          <w:color w:val="1C2833"/>
          <w:sz w:val="22"/>
          <w:szCs w:val="22"/>
        </w:rPr>
        <w:t xml:space="preserve">Pak Hartono, 58 tahun, petani dari Kabupaten Pacitan, datang ke Puskesmas setelah perjalanan empat jam dengan angkutan umum — kunjungan pertama ke fasilitas kesehatan formal dalam tiga tahun. Ia datang sendiri dan tampak gugup. Dokter memasuki ruangan tanpa menoleh, membuka komputer, lalu bertanya 'keluhan apa?' sambil tetap menatap layar. Setelah Pak Hartono menjelaskan selama 20 detik, dokter memotong: 'Hipertensi. Dikasih obat di apotek. Kontrol sebulan lagi.' Total durasi: dua menit empat puluh detik. Pak Hartono ingin menanyakan apakah kondisinya berbahaya, apa pantangan makan, dan bolehkah tetap bekerja di sawah — tetapi tidak berani bertanya.</w:t>
      </w:r>
    </w:p>
    <w:p>
      <w:pPr>
        <w:spacing w:after="140" w:before="100" w:line="380" w:lineRule="auto"/>
        <w:jc w:val="both"/>
      </w:pPr>
      <w:r>
        <w:rPr>
          <w:rFonts w:ascii="Arial" w:cs="Arial" w:eastAsia="Arial" w:hAnsi="Arial"/>
          <w:color w:val="1C2833"/>
          <w:sz w:val="22"/>
          <w:szCs w:val="22"/>
        </w:rPr>
        <w:t xml:space="preserve">Pertanyaan: (1) Identifikasi minimal lima tindakan atau kelalaian dokter yang mencerminkan pendekatan tidak manusiawi. (2) Gunakan model Calgary-Cambridge untuk merancang ulang konsultasi ini secara lengkap dari pembukaan hingga penutupan. (3) Apa yang hilang dari perspektif Person-Centered Care (Mead &amp; Bower, 2000) dan prinsip qaulan ma'rufan (QS. Al-Baqarah: 83)? (4) Pada level mana dari hierarki norma Siswanto (2026) kekurangan dokter ini paling terasa? Jelaskan dengan argumen rinci.</w:t>
      </w:r>
    </w:p>
    <w:p>
      <w:pPr>
        <w:spacing w:after="100" w:before="0"/>
      </w:pPr>
      <w:r>
        <w:t xml:space="preserve"/>
      </w:r>
    </w:p>
    <w:p>
      <w:pPr>
        <w:spacing w:after="80" w:before="160"/>
        <w:jc w:val="both"/>
      </w:pPr>
      <w:r>
        <w:rPr>
          <w:rFonts w:ascii="Arial" w:cs="Arial" w:eastAsia="Arial" w:hAnsi="Arial"/>
          <w:b/>
          <w:bCs/>
          <w:color w:val="1A3A5C"/>
          <w:sz w:val="22"/>
          <w:szCs w:val="22"/>
        </w:rPr>
        <w:t xml:space="preserve">SKENARIO 2: "Diagnosis yang Tidak Pernah Diucapkan"</w:t>
      </w:r>
    </w:p>
    <w:p>
      <w:pPr>
        <w:spacing w:after="140" w:before="100" w:line="380" w:lineRule="auto"/>
        <w:jc w:val="both"/>
      </w:pPr>
      <w:r>
        <w:rPr>
          <w:rFonts w:ascii="Arial" w:cs="Arial" w:eastAsia="Arial" w:hAnsi="Arial"/>
          <w:color w:val="1C2833"/>
          <w:sz w:val="22"/>
          <w:szCs w:val="22"/>
        </w:rPr>
        <w:t xml:space="preserve">Dr. Sari, dokter umum yang baru dua tahun berpraktik, menemukan massa di leher kiri pasien perempuan 48 tahun: keras, tidak nyeri, fixed, ukuran 3 cm, permukaan tidak rata — gambaran yang sangat mencurigakan keganasan. Dr. Sari merasa tidak yakin dengan temuannya dan tidak ingin membuat pasien panik. Ia memutuskan tidak menyampaikan kecurigaannya, meresepkan antibiotik, dan meminta kontrol tiga minggu lagi. Pasien pulang tanpa mengetahui apapun.</w:t>
      </w:r>
    </w:p>
    <w:p>
      <w:pPr>
        <w:spacing w:after="140" w:before="100" w:line="380" w:lineRule="auto"/>
        <w:jc w:val="both"/>
      </w:pPr>
      <w:r>
        <w:rPr>
          <w:rFonts w:ascii="Arial" w:cs="Arial" w:eastAsia="Arial" w:hAnsi="Arial"/>
          <w:color w:val="1C2833"/>
          <w:sz w:val="22"/>
          <w:szCs w:val="22"/>
        </w:rPr>
        <w:t xml:space="preserve">Pertanyaan: (1) Gunakan four-boxes method Jonsen et al. (2015) untuk menganalisis kasus ini. (2) Prinsip bioetika Beauchamp &amp; Childress (2019) mana yang paling jelas dilanggar? Jelaskan argumentasinya. (3) Susun respons yang seharusnya menggunakan protokol SPIKES (Baile et al., 2000). (4) Bagaimana perspektif amanah (QS. An-Nisa: 58) dan hadits dhamin dokter (HR. Abu Dawud No. 4586) memandang keputusan Dr. Sari?</w:t>
      </w:r>
    </w:p>
    <w:p>
      <w:pPr>
        <w:spacing w:after="100" w:before="0"/>
      </w:pPr>
      <w:r>
        <w:t xml:space="preserve"/>
      </w:r>
    </w:p>
    <w:p>
      <w:pPr>
        <w:spacing w:after="80" w:before="160"/>
        <w:jc w:val="both"/>
      </w:pPr>
      <w:r>
        <w:rPr>
          <w:rFonts w:ascii="Arial" w:cs="Arial" w:eastAsia="Arial" w:hAnsi="Arial"/>
          <w:b/>
          <w:bCs/>
          <w:color w:val="1A3A5C"/>
          <w:sz w:val="22"/>
          <w:szCs w:val="22"/>
        </w:rPr>
        <w:t xml:space="preserve">SKENARIO 3: "Dua Pasien, Dua Perlakuan"</w:t>
      </w:r>
    </w:p>
    <w:p>
      <w:pPr>
        <w:spacing w:after="140" w:before="100" w:line="380" w:lineRule="auto"/>
        <w:jc w:val="both"/>
      </w:pPr>
      <w:r>
        <w:rPr>
          <w:rFonts w:ascii="Arial" w:cs="Arial" w:eastAsia="Arial" w:hAnsi="Arial"/>
          <w:color w:val="1C2833"/>
          <w:sz w:val="22"/>
          <w:szCs w:val="22"/>
        </w:rPr>
        <w:t xml:space="preserve">Dalam satu sore, dr. Baskoro menerima dua pasien dengan keluhan identik: hipertensi tidak terkontrol memerlukan penyesuaian obat. Pasien pertama adalah direktur perusahaan yang membayar tunai: mendapat 28 menit konsultasi komprehensif. Pasien kedua adalah buruh pabrik peserta BPJS: mendapat tujuh menit, langsung ganti obat tanpa penjelasan modifikasi gaya hidup.</w:t>
      </w:r>
    </w:p>
    <w:p>
      <w:pPr>
        <w:spacing w:after="140" w:before="100" w:line="380" w:lineRule="auto"/>
        <w:jc w:val="both"/>
      </w:pPr>
      <w:r>
        <w:rPr>
          <w:rFonts w:ascii="Arial" w:cs="Arial" w:eastAsia="Arial" w:hAnsi="Arial"/>
          <w:color w:val="1C2833"/>
          <w:sz w:val="22"/>
          <w:szCs w:val="22"/>
        </w:rPr>
        <w:t xml:space="preserve">Pertanyaan: (1) Gambarkan pelanggaran dari perspektif hukum (UU No. 17/2023, KODEKI), etika (Beauchamp &amp; Childress, 2019), moral, dan akhlak secara berbeda dan spesifik. (2) Apa yang Al-Qur'an ajarkan tentang keadilan dalam pelayanan (QS. An-Nahl: 90)? (3) Bagaimana dr. Baskoro seharusnya membangun sistem internal yang memastikan standar yang sama bagi semua pasien?</w:t>
      </w:r>
    </w:p>
    <w:p>
      <w:pPr>
        <w:spacing w:after="100" w:before="0"/>
      </w:pPr>
      <w:r>
        <w:t xml:space="preserve"/>
      </w:r>
    </w:p>
    <w:p>
      <w:pPr>
        <w:spacing w:after="80" w:before="160"/>
        <w:jc w:val="both"/>
      </w:pPr>
      <w:r>
        <w:rPr>
          <w:rFonts w:ascii="Arial" w:cs="Arial" w:eastAsia="Arial" w:hAnsi="Arial"/>
          <w:b/>
          <w:bCs/>
          <w:color w:val="1A3A5C"/>
          <w:sz w:val="22"/>
          <w:szCs w:val="22"/>
        </w:rPr>
        <w:t xml:space="preserve">SKENARIO 4: "Ketakutan yang Tidak Didengar"</w:t>
      </w:r>
    </w:p>
    <w:p>
      <w:pPr>
        <w:spacing w:after="140" w:before="100" w:line="380" w:lineRule="auto"/>
        <w:jc w:val="both"/>
      </w:pPr>
      <w:r>
        <w:rPr>
          <w:rFonts w:ascii="Arial" w:cs="Arial" w:eastAsia="Arial" w:hAnsi="Arial"/>
          <w:color w:val="1C2833"/>
          <w:sz w:val="22"/>
          <w:szCs w:val="22"/>
        </w:rPr>
        <w:t xml:space="preserve">Budi, 10 tahun, di IGD dengan demam tinggi memerlukan pemasangan infus. Budi sangat takut jarum suntik akibat pengalaman traumatik masa kecil. Dr. Lestari, melihat IGD penuh, memilih meminta bantuan ibu dan perawat untuk memegang Budi paksa agar infus bisa segera dipasang.</w:t>
      </w:r>
    </w:p>
    <w:p>
      <w:pPr>
        <w:spacing w:after="140" w:before="100" w:line="380" w:lineRule="auto"/>
        <w:jc w:val="both"/>
      </w:pPr>
      <w:r>
        <w:rPr>
          <w:rFonts w:ascii="Arial" w:cs="Arial" w:eastAsia="Arial" w:hAnsi="Arial"/>
          <w:color w:val="1C2833"/>
          <w:sz w:val="22"/>
          <w:szCs w:val="22"/>
        </w:rPr>
        <w:t xml:space="preserve">Pertanyaan: (1) Berdasarkan teori gate control Melzack &amp; Wall (1965), jelaskan mengapa prosedur dengan cara ini lebih menyakitkan dari yang seharusnya. (2) Apa pendekatan alternatif berbasis bukti yang mempertimbangkan perkembangan kognitif anak (Piaget, 1952) dan kasih sayang kepada yang muda (HR. al-Tirmidzi No. 1919)? (3) Apakah tekanan waktu dalam setting IGD membenarkan pendekatan yang traumatik?</w:t>
      </w:r>
    </w:p>
    <w:p>
      <w:pPr>
        <w:spacing w:after="100" w:before="0"/>
      </w:pPr>
      <w:r>
        <w:t xml:space="preserve"/>
      </w:r>
    </w:p>
    <w:p>
      <w:pPr>
        <w:spacing w:after="80" w:before="160"/>
        <w:jc w:val="both"/>
      </w:pPr>
      <w:r>
        <w:rPr>
          <w:rFonts w:ascii="Arial" w:cs="Arial" w:eastAsia="Arial" w:hAnsi="Arial"/>
          <w:b/>
          <w:bCs/>
          <w:color w:val="1A3A5C"/>
          <w:sz w:val="22"/>
          <w:szCs w:val="22"/>
        </w:rPr>
        <w:t xml:space="preserve">SKENARIO 5: "Pemeriksaan yang Menguntungkan"</w:t>
      </w:r>
    </w:p>
    <w:p>
      <w:pPr>
        <w:spacing w:after="140" w:before="100" w:line="380" w:lineRule="auto"/>
        <w:jc w:val="both"/>
      </w:pPr>
      <w:r>
        <w:rPr>
          <w:rFonts w:ascii="Arial" w:cs="Arial" w:eastAsia="Arial" w:hAnsi="Arial"/>
          <w:color w:val="1C2833"/>
          <w:sz w:val="22"/>
          <w:szCs w:val="22"/>
        </w:rPr>
        <w:t xml:space="preserve">Pak Ferdiansyah, 35 tahun, datang dengan flu ringan tanpa red flags — secara klinis sangat kemungkinan ISPA viral yang sembuh sendiri dalam 7-10 hari. Dr. Handoyo merekomendasikan darah lengkap, CRP kuantitatif, rontgen thorax PA, dan swab antigen COVID-19 (total estimasi Rp 920.000). Ketika pasien bertanya apakah semua perlu, dr. Handoyo menjawab: 'Lebih baik kita pastikan dulu.'</w:t>
      </w:r>
    </w:p>
    <w:p>
      <w:pPr>
        <w:spacing w:after="140" w:before="100" w:line="380" w:lineRule="auto"/>
        <w:jc w:val="both"/>
      </w:pPr>
      <w:r>
        <w:rPr>
          <w:rFonts w:ascii="Arial" w:cs="Arial" w:eastAsia="Arial" w:hAnsi="Arial"/>
          <w:color w:val="1C2833"/>
          <w:sz w:val="22"/>
          <w:szCs w:val="22"/>
        </w:rPr>
        <w:t xml:space="preserve">Pertanyaan: (1) Berdasarkan prinsip EBM Sackett et al. (1996), apakah rekomendasi ini dapat dibenarkan secara klinis? (2) Prinsip bioetika mana yang dilanggar (Beauchamp &amp; Childress, 2019)? (3) Bagaimana perspektif akhlak — khususnya amanah dan larangan mengambil harta orang lain dengan cara batil (QS. An-Nisa: 29) — mengevaluasi situasi ini?</w:t>
      </w:r>
    </w:p>
    <w:p>
      <w:pPr>
        <w:pStyle w:val="Heading2"/>
        <w:spacing w:after="140" w:before="300"/>
      </w:pPr>
      <w:r>
        <w:rPr>
          <w:rFonts w:ascii="Arial" w:cs="Arial" w:eastAsia="Arial" w:hAnsi="Arial"/>
          <w:b/>
          <w:bCs/>
          <w:color w:val="1F5F8B"/>
          <w:sz w:val="30"/>
          <w:szCs w:val="30"/>
        </w:rPr>
        <w:t xml:space="preserve">C. Tiga Studi Kasus Klinis Komprehensif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"Kasus klinis yang baik bukan yang mudah diselesaikan — ia yang memaksamu berpikir lebih dalam dari yang pernah kamu pikirkan sebelumnya, dan yang mengubah caramu melihat pasien setelahnya."</w:t>
            </w:r>
          </w:p>
          <w:p>
            <w:pPr>
              <w:spacing w:after="50" w:before="20"/>
              <w:jc w:val="center"/>
            </w:pPr>
            <w:r>
              <w:rPr>
                <w:rFonts w:ascii="Arial" w:cs="Arial" w:eastAsia="Arial" w:hAnsi="Arial"/>
                <w:color w:val="8B6914"/>
                <w:sz w:val="18"/>
                <w:szCs w:val="18"/>
              </w:rPr>
              <w:t xml:space="preserve">— Refleksi pedagogis</w:t>
            </w:r>
          </w:p>
        </w:tc>
      </w:tr>
    </w:tbl>
    <w:p>
      <w:pPr>
        <w:spacing w:after="100" w:before="0"/>
      </w:pPr>
      <w:r>
        <w:t xml:space="preserve"/>
      </w:r>
    </w:p>
    <w:p>
      <w:pPr>
        <w:spacing w:after="80" w:before="160"/>
        <w:jc w:val="both"/>
      </w:pPr>
      <w:r>
        <w:rPr>
          <w:rFonts w:ascii="Arial" w:cs="Arial" w:eastAsia="Arial" w:hAnsi="Arial"/>
          <w:b/>
          <w:bCs/>
          <w:color w:val="1A3A5C"/>
          <w:sz w:val="22"/>
          <w:szCs w:val="22"/>
        </w:rPr>
        <w:t xml:space="preserve">KASUS 1: "Rahasia yang Membebani"</w:t>
      </w:r>
    </w:p>
    <w:p>
      <w:pPr>
        <w:spacing w:after="140" w:before="100" w:line="380" w:lineRule="auto"/>
        <w:jc w:val="both"/>
      </w:pPr>
      <w:r>
        <w:rPr>
          <w:rFonts w:ascii="Arial" w:cs="Arial" w:eastAsia="Arial" w:hAnsi="Arial"/>
          <w:color w:val="1C2833"/>
          <w:sz w:val="22"/>
          <w:szCs w:val="22"/>
        </w:rPr>
        <w:t xml:space="preserve">Dr. Putri Anggraini, 32 tahun, dokter umum di klinik pratama bermitra BPJS, menerima Bapak Rudianto, 50 tahun, pengusaha. Anamnesis: merokok dua bungkus per hari sejak usia 20 tahun, sesekali konsumsi alkohol, dan sangat stres karena usahanya mengalami kesulitan finansial. Pemeriksaan fisik: TD 165/100 mmHg, massa di leher kanan 2,5 cm (keras, tidak nyeri, fixed, permukaan tidak rata), dan bercak putih di mukosa bukal kiri yang tidak dapat dikerok. Dr. Putri merencanakan rujukan ke spesialis THT dan penyakit dalam. Pak Rudianto kemudian berbisik: 'Dok, tolong jangan tulis semuanya di rekam medis. Istri saya tidak tahu saya merokok. Dan saya sedang proses klaim asuransi jiwa — kalau ada catatan penyakit mencurigakan, klaim bisa ditolak.'</w:t>
      </w:r>
    </w:p>
    <w:p>
      <w:pPr>
        <w:spacing w:after="140" w:before="100" w:line="380" w:lineRule="auto"/>
        <w:jc w:val="both"/>
      </w:pPr>
      <w:r>
        <w:rPr>
          <w:rFonts w:ascii="Arial" w:cs="Arial" w:eastAsia="Arial" w:hAnsi="Arial"/>
          <w:color w:val="1C2833"/>
          <w:sz w:val="22"/>
          <w:szCs w:val="22"/>
        </w:rPr>
        <w:t xml:space="preserve">Analisis Bagian A (Klinis): Jelaskan signifikansi klinis setiap temuan dan urgensi penanganannya. Bagian B (Etis-Hukum): Identifikasi konflik prinsip bioetika. Apa kewajiban hukum Dr. Putri terkait rekam medis berdasarkan Permenkes No. 24 Tahun 2022? Bagian C (Akhlak): Bagaimana konsep amanah memandang permintaan Pak Rudianto? Bagian D (Komunikasi): Susun respons verbal Dr. Putri yang menolak permintaan dengan tegas namun empatik, menjelaskan alasan, dan menawarkan bantuan konkret.</w:t>
      </w:r>
    </w:p>
    <w:p>
      <w:pPr>
        <w:spacing w:after="100" w:before="0"/>
      </w:pPr>
      <w:r>
        <w:t xml:space="preserve"/>
      </w:r>
    </w:p>
    <w:p>
      <w:pPr>
        <w:spacing w:after="80" w:before="160"/>
        <w:jc w:val="both"/>
      </w:pPr>
      <w:r>
        <w:rPr>
          <w:rFonts w:ascii="Arial" w:cs="Arial" w:eastAsia="Arial" w:hAnsi="Arial"/>
          <w:b/>
          <w:bCs/>
          <w:color w:val="1A3A5C"/>
          <w:sz w:val="22"/>
          <w:szCs w:val="22"/>
        </w:rPr>
        <w:t xml:space="preserve">KASUS 2: "Dokter, Media Sosial, dan Kepercayaan"</w:t>
      </w:r>
    </w:p>
    <w:p>
      <w:pPr>
        <w:spacing w:after="140" w:before="100" w:line="380" w:lineRule="auto"/>
        <w:jc w:val="both"/>
      </w:pPr>
      <w:r>
        <w:rPr>
          <w:rFonts w:ascii="Arial" w:cs="Arial" w:eastAsia="Arial" w:hAnsi="Arial"/>
          <w:color w:val="1C2833"/>
          <w:sz w:val="22"/>
          <w:szCs w:val="22"/>
        </w:rPr>
        <w:t xml:space="preserve">Dr. Naufal Hakim, 30 tahun, dokter umum dengan 52.000 pengikut Instagram, merawat seorang selebritis dengan gangguan kecemasan dan insomnia. Keesokan harinya ia mengunggah foto di ruang konsultasinya yang khas dengan caption: 'Hari yang penuh makna. Konsultasi hari ini mengingatkan saya betapa besar tekanan yang dialami orang-orang yang kita kagumi dari jauh. Burnout dan kecemasan tidak memandang ketenaran.' Tiga hari kemudian, manajer selebritis tersebut mengancam tindakan hukum atas pelanggaran privasi.</w:t>
      </w:r>
    </w:p>
    <w:p>
      <w:pPr>
        <w:spacing w:after="140" w:before="100" w:line="380" w:lineRule="auto"/>
        <w:jc w:val="both"/>
      </w:pPr>
      <w:r>
        <w:rPr>
          <w:rFonts w:ascii="Arial" w:cs="Arial" w:eastAsia="Arial" w:hAnsi="Arial"/>
          <w:color w:val="1C2833"/>
          <w:sz w:val="22"/>
          <w:szCs w:val="22"/>
        </w:rPr>
        <w:t xml:space="preserve">Pertanyaan: (1) Apakah unggahan dr. Naufal melanggar konfidensialitas pasien meskipun tidak menyebut nama? Jelaskan menggunakan KODEKI dan standar etika profesi. (2) Apa implikasi hukum berdasarkan UU No. 17 Tahun 2023? (3) Bagaimana dokter dengan platform media sosial besar mengelola batas antara edukasi publik dan konfidensialitas? (4) Apa pelajaran akhlak dari kasus ini, khususnya terkait amanah dan hadits 'berkata baik atau diam' (HR. Bukhari No. 6018)?</w:t>
      </w:r>
    </w:p>
    <w:p>
      <w:pPr>
        <w:spacing w:after="100" w:before="0"/>
      </w:pPr>
      <w:r>
        <w:t xml:space="preserve"/>
      </w:r>
    </w:p>
    <w:p>
      <w:pPr>
        <w:spacing w:after="80" w:before="160"/>
        <w:jc w:val="both"/>
      </w:pPr>
      <w:r>
        <w:rPr>
          <w:rFonts w:ascii="Arial" w:cs="Arial" w:eastAsia="Arial" w:hAnsi="Arial"/>
          <w:b/>
          <w:bCs/>
          <w:color w:val="1A3A5C"/>
          <w:sz w:val="22"/>
          <w:szCs w:val="22"/>
        </w:rPr>
        <w:t xml:space="preserve">KASUS 3: "Batas yang Kabur"</w:t>
      </w:r>
    </w:p>
    <w:p>
      <w:pPr>
        <w:spacing w:after="140" w:before="100" w:line="380" w:lineRule="auto"/>
        <w:jc w:val="both"/>
      </w:pPr>
      <w:r>
        <w:rPr>
          <w:rFonts w:ascii="Arial" w:cs="Arial" w:eastAsia="Arial" w:hAnsi="Arial"/>
          <w:color w:val="1C2833"/>
          <w:sz w:val="22"/>
          <w:szCs w:val="22"/>
        </w:rPr>
        <w:t xml:space="preserve">Dr. Nisa Rahmania, 28 tahun, memiliki pasien setia Ibu Dewi Santoso, 52 tahun, yang berobat selama dua tahun. Hubungan berkembang melampaui batas dokter-pasien formal: Ibu Dewi sering membawa oleh-oleh dan keduanya saling follow di Instagram. Suatu hari Ibu Dewi meminta Dr. Nisa membuat surat keterangan medis yang menyatakan ia memiliki kondisi medis tertentu yang tidak ia miliki — untuk keperluan pengajuan cuti panjang di kantornya, karena ingin menemani suaminya yang sakit keras.</w:t>
      </w:r>
    </w:p>
    <w:p>
      <w:pPr>
        <w:spacing w:after="140" w:before="100" w:line="380" w:lineRule="auto"/>
        <w:jc w:val="both"/>
      </w:pPr>
      <w:r>
        <w:rPr>
          <w:rFonts w:ascii="Arial" w:cs="Arial" w:eastAsia="Arial" w:hAnsi="Arial"/>
          <w:color w:val="1C2833"/>
          <w:sz w:val="22"/>
          <w:szCs w:val="22"/>
        </w:rPr>
        <w:t xml:space="preserve">Pertanyaan: (1) Identifikasi semua dimensi masalah profesional: batas profesional, integritas dokumentasi, dan dual relationship. (2) Apakah keakraban membenarkan pemenuhan permintaan ini? Bangun argumen dua sisi, kemudian simpulkan. (3) Apa konsekuensi hukum berdasarkan UU No. 17/2023 dan KODEKI jika Dr. Nisa memenuhi permintaan? (4) Susun respons Dr. Nisa yang menolak dengan tegas namun empatik, sambil menawarkan alternatif bantuan yang sah. (5) Apakah 'menjaga perasaan teman' dapat menjadi justifikasi berbohong dari perspektif akhlak Islam?</w:t>
      </w:r>
    </w:p>
    <w:p>
      <w:pPr>
        <w:pStyle w:val="Heading2"/>
        <w:spacing w:after="140" w:before="300"/>
      </w:pPr>
      <w:r>
        <w:rPr>
          <w:rFonts w:ascii="Arial" w:cs="Arial" w:eastAsia="Arial" w:hAnsi="Arial"/>
          <w:b/>
          <w:bCs/>
          <w:color w:val="1F5F8B"/>
          <w:sz w:val="30"/>
          <w:szCs w:val="30"/>
        </w:rPr>
        <w:t xml:space="preserve">D. Lima Latihan Refleksi dan Muhasabah Pribadi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"Orang yang cerdas adalah orang yang menghisab (mengevaluasi) dirinya sendiri dan beramal untuk kehidupan setelah kematian." Muhasabah yang tulus bukan hanya refleksi akademis — ia adalah pertobatan yang konstruktif dan komitmen yang diperbaharui kepada Allah.</w:t>
            </w:r>
          </w:p>
          <w:p>
            <w:pPr>
              <w:spacing w:after="50" w:before="20"/>
              <w:jc w:val="center"/>
            </w:pPr>
            <w:r>
              <w:rPr>
                <w:rFonts w:ascii="Arial" w:cs="Arial" w:eastAsia="Arial" w:hAnsi="Arial"/>
                <w:color w:val="8B6914"/>
                <w:sz w:val="18"/>
                <w:szCs w:val="18"/>
              </w:rPr>
              <w:t xml:space="preserve">— HR. al-Tirmidzi No. 2459; dinilai hasan</w:t>
            </w:r>
          </w:p>
        </w:tc>
      </w:tr>
    </w:tbl>
    <w:p>
      <w:pPr>
        <w:spacing w:after="100" w:before="0"/>
      </w:pPr>
      <w:r>
        <w:t xml:space="preserve"/>
      </w:r>
    </w:p>
    <w:p>
      <w:pPr>
        <w:spacing w:after="80" w:before="160"/>
        <w:jc w:val="both"/>
      </w:pPr>
      <w:r>
        <w:rPr>
          <w:rFonts w:ascii="Arial" w:cs="Arial" w:eastAsia="Arial" w:hAnsi="Arial"/>
          <w:b/>
          <w:bCs/>
          <w:color w:val="1A3A5C"/>
          <w:sz w:val="22"/>
          <w:szCs w:val="22"/>
        </w:rPr>
        <w:t xml:space="preserve">REFLEKSI 1: Sumpah Pertama</w:t>
      </w:r>
    </w:p>
    <w:p>
      <w:pPr>
        <w:spacing w:after="140" w:before="100" w:line="380" w:lineRule="auto"/>
        <w:jc w:val="both"/>
      </w:pPr>
      <w:r>
        <w:rPr>
          <w:rFonts w:ascii="Arial" w:cs="Arial" w:eastAsia="Arial" w:hAnsi="Arial"/>
          <w:color w:val="1C2833"/>
          <w:sz w:val="22"/>
          <w:szCs w:val="22"/>
        </w:rPr>
        <w:t xml:space="preserve">Pikirkan kembali momen ketika Anda diambil sumpah sebagai dokter. Apa yang Anda rasakan saat itu? Kalimat mana yang paling bermakna bagi Anda? Seberapa sering Anda mengingat kembali sumpah itu dalam keseharian? Hubungkan dengan konsep niyyah (niat) dalam Islam: apakah niat Anda dalam berpraktik sepenuhnya selaras dengan sumpah yang telah Anda ucapkan? Satu tindakan konkret apa yang ingin Anda ambil untuk membuat sumpah itu lebih 'hidup'?</w:t>
      </w:r>
    </w:p>
    <w:p>
      <w:pPr>
        <w:spacing w:after="80" w:before="160"/>
        <w:jc w:val="both"/>
      </w:pPr>
      <w:r>
        <w:rPr>
          <w:rFonts w:ascii="Arial" w:cs="Arial" w:eastAsia="Arial" w:hAnsi="Arial"/>
          <w:b/>
          <w:bCs/>
          <w:color w:val="1A3A5C"/>
          <w:sz w:val="22"/>
          <w:szCs w:val="22"/>
        </w:rPr>
        <w:t xml:space="preserve">REFLEKSI 2: Pasien yang Paling Sulit Dilupakan</w:t>
      </w:r>
    </w:p>
    <w:p>
      <w:pPr>
        <w:spacing w:after="140" w:before="100" w:line="380" w:lineRule="auto"/>
        <w:jc w:val="both"/>
      </w:pPr>
      <w:r>
        <w:rPr>
          <w:rFonts w:ascii="Arial" w:cs="Arial" w:eastAsia="Arial" w:hAnsi="Arial"/>
          <w:color w:val="1C2833"/>
          <w:sz w:val="22"/>
          <w:szCs w:val="22"/>
        </w:rPr>
        <w:t xml:space="preserve">Pikirkan satu pasien yang paling sulit Anda lupakan. Mengapa Anda tidak dapat melupakannya? Apa yang Anda pelajari tentang arti menjadi dokter yang sesungguhnya? Jika Anda bisa kembali ke momen itu dengan pemahaman yang Anda miliki sekarang, apa yang akan Anda lakukan secara berbeda? Apakah ada penyesalan yang perlu diselesaikan melalui muhasabah?</w:t>
      </w:r>
    </w:p>
    <w:p>
      <w:pPr>
        <w:spacing w:after="80" w:before="160"/>
        <w:jc w:val="both"/>
      </w:pPr>
      <w:r>
        <w:rPr>
          <w:rFonts w:ascii="Arial" w:cs="Arial" w:eastAsia="Arial" w:hAnsi="Arial"/>
          <w:b/>
          <w:bCs/>
          <w:color w:val="1A3A5C"/>
          <w:sz w:val="22"/>
          <w:szCs w:val="22"/>
        </w:rPr>
        <w:t xml:space="preserve">REFLEKSI 3: Dua Standar yang Jujur</w:t>
      </w:r>
    </w:p>
    <w:p>
      <w:pPr>
        <w:spacing w:after="140" w:before="100" w:line="380" w:lineRule="auto"/>
        <w:jc w:val="both"/>
      </w:pPr>
      <w:r>
        <w:rPr>
          <w:rFonts w:ascii="Arial" w:cs="Arial" w:eastAsia="Arial" w:hAnsi="Arial"/>
          <w:color w:val="1C2833"/>
          <w:sz w:val="22"/>
          <w:szCs w:val="22"/>
        </w:rPr>
        <w:t xml:space="preserve">Jawab dengan jujur sebagai bentuk muhasabah: Pernahkah Anda memperlakukan satu pasien dengan lebih sabar atau lebih teliti dari pasien lain? Apa yang membedakan? Adakah kategori pasien yang membuat Anda cenderung kurang hadir secara emosional? Bagaimana prinsip keadilan ('adl) Islam merespons temuan dari muhasabah jujur Anda ini? Satu langkah konkret apa yang dapat Anda ambil untuk membangun standar yang sama bagi semua pasien?</w:t>
      </w:r>
    </w:p>
    <w:p>
      <w:pPr>
        <w:spacing w:after="80" w:before="160"/>
        <w:jc w:val="both"/>
      </w:pPr>
      <w:r>
        <w:rPr>
          <w:rFonts w:ascii="Arial" w:cs="Arial" w:eastAsia="Arial" w:hAnsi="Arial"/>
          <w:b/>
          <w:bCs/>
          <w:color w:val="1A3A5C"/>
          <w:sz w:val="22"/>
          <w:szCs w:val="22"/>
        </w:rPr>
        <w:t xml:space="preserve">REFLEKSI 4: Niat di Balik Tindakan</w:t>
      </w:r>
    </w:p>
    <w:p>
      <w:pPr>
        <w:spacing w:after="140" w:before="100" w:line="380" w:lineRule="auto"/>
        <w:jc w:val="both"/>
      </w:pPr>
      <w:r>
        <w:rPr>
          <w:rFonts w:ascii="Arial" w:cs="Arial" w:eastAsia="Arial" w:hAnsi="Arial"/>
          <w:color w:val="1C2833"/>
          <w:sz w:val="22"/>
          <w:szCs w:val="22"/>
        </w:rPr>
        <w:t xml:space="preserve">Ketika Anda memberikan perawatan berkualitas kepada pasien, apa yang paling mendasari motivasi Anda secara jujur? Takut tuntutan hukum? Ingin reputasi baik? Karena ada supervisor yang mengawasi? Genuinely peduli? Atau tanggung jawab kepada Allah? Apa gap antara motivasi ideal yang Anda inginkan dan motivasi sesungguhnya yang lebih sering muncul? Satu langkah konkret apa yang dapat menggeser motivasi menuju ihsan?</w:t>
      </w:r>
    </w:p>
    <w:p>
      <w:pPr>
        <w:spacing w:after="80" w:before="160"/>
        <w:jc w:val="both"/>
      </w:pPr>
      <w:r>
        <w:rPr>
          <w:rFonts w:ascii="Arial" w:cs="Arial" w:eastAsia="Arial" w:hAnsi="Arial"/>
          <w:b/>
          <w:bCs/>
          <w:color w:val="1A3A5C"/>
          <w:sz w:val="22"/>
          <w:szCs w:val="22"/>
        </w:rPr>
        <w:t xml:space="preserve">REFLEKSI 5: Surat untuk Pasien yang Takut</w:t>
      </w:r>
    </w:p>
    <w:p>
      <w:pPr>
        <w:spacing w:after="140" w:before="100" w:line="380" w:lineRule="auto"/>
        <w:jc w:val="both"/>
      </w:pPr>
      <w:r>
        <w:rPr>
          <w:rFonts w:ascii="Arial" w:cs="Arial" w:eastAsia="Arial" w:hAnsi="Arial"/>
          <w:color w:val="1C2833"/>
          <w:sz w:val="22"/>
          <w:szCs w:val="22"/>
        </w:rPr>
        <w:t xml:space="preserve">Bayangkan seorang pasien: pria 45 tahun, berpendidikan SD, petani dari desa terpencil, sudah merasakan benjolan di lehernya selama enam bulan tetapi takut ke dokter karena trauma pengalaman buruk sebelumnya dan keterbatasan finansial. Tuliskan surat kepadanya (100-200 kata) dalam bahasa yang dapat ia pahami. Setelah selesai, bacalah kembali secara kritis: apakah setiap kata adalah janji yang benar-benar Anda mampu dan bersedia penuhi? Apa gap antara apa yang Anda tulis dan bagaimana Anda sesungguhnya berpraktik?</w:t>
      </w:r>
    </w:p>
    <w:p>
      <w:pPr>
        <w:pStyle w:val="Heading2"/>
        <w:spacing w:after="140" w:before="300"/>
      </w:pPr>
      <w:r>
        <w:rPr>
          <w:rFonts w:ascii="Arial" w:cs="Arial" w:eastAsia="Arial" w:hAnsi="Arial"/>
          <w:b/>
          <w:bCs/>
          <w:color w:val="1F5F8B"/>
          <w:sz w:val="30"/>
          <w:szCs w:val="30"/>
        </w:rPr>
        <w:t xml:space="preserve">E. Panduan untuk Fasilitator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B6914" w:sz="10"/>
              <w:left w:val="single" w:color="8B6914" w:sz="28"/>
              <w:bottom w:val="single" w:color="8B6914" w:sz="10"/>
              <w:right w:val="none" w:sz="0"/>
            </w:tcBorders>
            <w:shd w:fill="F5EFD9" w:val="clear"/>
            <w:tcMar>
              <w:top w:type="dxa" w:w="160"/>
              <w:left w:type="dxa" w:w="260"/>
              <w:bottom w:type="dxa" w:w="160"/>
              <w:right w:type="dxa" w:w="260"/>
            </w:tcMar>
          </w:tcPr>
          <w:p>
            <w:pPr>
              <w:spacing w:after="50" w:before="40"/>
              <w:jc w:val="center"/>
            </w:pPr>
            <w:r>
              <w:rPr>
                <w:rFonts w:ascii="Arial" w:cs="Arial" w:eastAsia="Arial" w:hAnsi="Arial"/>
                <w:b/>
                <w:bCs/>
                <w:color w:val="8B6914"/>
                <w:sz w:val="18"/>
                <w:szCs w:val="18"/>
              </w:rPr>
              <w:t xml:space="preserve">❖  RENUNGAN  ❖</w:t>
            </w:r>
          </w:p>
          <w:p>
            <w:pPr>
              <w:spacing w:after="40" w:before="40"/>
              <w:jc w:val="center"/>
            </w:pPr>
            <w:r>
              <w:rPr>
                <w:rFonts w:ascii="Arial" w:cs="Arial" w:eastAsia="Arial" w:hAnsi="Arial"/>
                <w:i/>
                <w:iCs/>
                <w:color w:val="1A3A5C"/>
                <w:sz w:val="20"/>
                <w:szCs w:val="20"/>
              </w:rPr>
              <w:t xml:space="preserve">"Fasilitator yang baik tidak memberikan jawaban — ia memberikan pertanyaan yang lebih baik dan menciptakan kondisi di mana peserta menemukan jawabannya sendiri." Pendekatan Sokrates yang dipadukan dengan adab fasilitasi Islami yang tawadhu.</w:t>
            </w:r>
          </w:p>
          <w:p>
            <w:pPr>
              <w:spacing w:after="50" w:before="20"/>
              <w:jc w:val="center"/>
            </w:pPr>
            <w:r>
              <w:rPr>
                <w:rFonts w:ascii="Arial" w:cs="Arial" w:eastAsia="Arial" w:hAnsi="Arial"/>
                <w:color w:val="8B6914"/>
                <w:sz w:val="18"/>
                <w:szCs w:val="18"/>
              </w:rPr>
              <w:t xml:space="preserve">— Refleksi pedagogis</w:t>
            </w:r>
          </w:p>
        </w:tc>
      </w:tr>
    </w:tbl>
    <w:p>
      <w:pPr>
        <w:spacing w:after="100" w:before="0"/>
      </w:pPr>
      <w:r>
        <w:t xml:space="preserve"/>
      </w:r>
    </w:p>
    <w:p>
      <w:pPr>
        <w:spacing w:after="140" w:before="100" w:line="380" w:lineRule="auto"/>
        <w:jc w:val="both"/>
      </w:pPr>
      <w:r>
        <w:rPr>
          <w:rFonts w:ascii="Arial" w:cs="Arial" w:eastAsia="Arial" w:hAnsi="Arial"/>
          <w:color w:val="1C2833"/>
          <w:sz w:val="22"/>
          <w:szCs w:val="22"/>
        </w:rPr>
        <w:t xml:space="preserve">Hafferty &amp; Franks (1994) membuktikan bahwa apa yang paling membentuk karakter mahasiswa kedokteran bukan apa yang diajarkan secara formal, melainkan cara dosen dan klinisi senior berperilaku di hadapan mereka. Fasilitator bab ini adalah bagian dari hidden curriculum tersebut.</w:t>
      </w:r>
    </w:p>
    <w:p>
      <w:pPr>
        <w:spacing w:after="80" w:before="160"/>
        <w:jc w:val="both"/>
      </w:pPr>
      <w:r>
        <w:rPr>
          <w:rFonts w:ascii="Arial" w:cs="Arial" w:eastAsia="Arial" w:hAnsi="Arial"/>
          <w:b/>
          <w:bCs/>
          <w:color w:val="1A3A5C"/>
          <w:sz w:val="22"/>
          <w:szCs w:val="22"/>
        </w:rPr>
        <w:t xml:space="preserve">Lima Prinsip Fasilitasi</w:t>
      </w:r>
    </w:p>
    <w:p>
      <w:pPr>
        <w:spacing w:after="140" w:before="100" w:line="380" w:lineRule="auto"/>
        <w:jc w:val="both"/>
      </w:pPr>
      <w:r>
        <w:rPr>
          <w:rFonts w:ascii="Arial" w:cs="Arial" w:eastAsia="Arial" w:hAnsi="Arial"/>
          <w:color w:val="1C2833"/>
          <w:sz w:val="22"/>
          <w:szCs w:val="22"/>
        </w:rPr>
        <w:t xml:space="preserve">(1) Ciptakan ruang aman yang tulus: tegaskan berulang bahwa tujuan diskusi adalah eksplorasi jujur, bukan pencarian jawaban yang politically correct. (2) Tunda pemberian 'jawaban benar': biarkan peserta bergulat dengan kompleksitas sebelum fasilitator membantu mengonsolidasikan pemahaman. (3) Gunakan pertanyaan Sokrates secara konsisten: 'Mengapa kamu berpikir demikian?', 'Apa yang mungkin kamu lewatkan dari perspektif pasiennya?', 'Bagaimana seseorang yang berakhlak mulia akan merespons situasi ini?' (4) Hubungkan dengan pengalaman klinis nyata: pengalaman nyata memiliki kekuatan pedagogis yang melampaui kasus hipotetis. (5) Akhiri dengan komitmen konkret: 'Satu hal konkret apa yang akan kamu lakukan berbeda setelah diskusi hari ini?'</w:t>
      </w:r>
    </w:p>
    <w:p>
      <w:pPr>
        <w:spacing w:after="80" w:before="160"/>
        <w:jc w:val="both"/>
      </w:pPr>
      <w:r>
        <w:rPr>
          <w:rFonts w:ascii="Arial" w:cs="Arial" w:eastAsia="Arial" w:hAnsi="Arial"/>
          <w:b/>
          <w:bCs/>
          <w:color w:val="1A3A5C"/>
          <w:sz w:val="22"/>
          <w:szCs w:val="22"/>
        </w:rPr>
        <w:t xml:space="preserve">Evaluasi Kompetensi Humanistik dan Akhlak</w:t>
      </w:r>
    </w:p>
    <w:p>
      <w:pPr>
        <w:spacing w:after="140" w:before="100" w:line="380" w:lineRule="auto"/>
        <w:jc w:val="both"/>
      </w:pPr>
      <w:r>
        <w:rPr>
          <w:rFonts w:ascii="Arial" w:cs="Arial" w:eastAsia="Arial" w:hAnsi="Arial"/>
          <w:color w:val="1C2833"/>
          <w:sz w:val="22"/>
          <w:szCs w:val="22"/>
        </w:rPr>
        <w:t xml:space="preserve">Instrumen yang dapat digunakan: portfolio refleksi klinis yang mencerminkan perkembangan muhasabah selama periode waktu tertentu; modifikasi OSCE dengan skenario komunikasi dan dilema etis-akhlak; peer assessment tentang perilaku profesional dan humanistik; serta 360-degree feedback dari pasien, staf klinik, dan sejawat.</w:t>
      </w:r>
    </w:p>
    <w:p>
      <w:pPr>
        <w:spacing w:after="100" w:before="0"/>
      </w:pPr>
      <w:r>
        <w:t xml:space="preserve"/>
      </w:r>
    </w:p>
    <w:p>
      <w:pPr>
        <w:spacing w:after="80" w:before="160"/>
        <w:jc w:val="both"/>
      </w:pPr>
      <w:r>
        <w:rPr>
          <w:rFonts w:ascii="Arial" w:cs="Arial" w:eastAsia="Arial" w:hAnsi="Arial"/>
          <w:b/>
          <w:bCs/>
          <w:color w:val="1A3A5C"/>
          <w:sz w:val="22"/>
          <w:szCs w:val="22"/>
        </w:rPr>
        <w:t xml:space="preserve">DAFTAR REFERENSI BAB 9</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DC3C7" w:sz="6"/>
              <w:left w:val="single" w:color="BDC3C7" w:sz="6"/>
              <w:bottom w:val="single" w:color="BDC3C7" w:sz="6"/>
              <w:right w:val="single" w:color="BDC3C7" w:sz="6"/>
            </w:tcBorders>
            <w:shd w:fill="F8F9FA" w:val="clear"/>
            <w:tcMar>
              <w:top w:type="dxa" w:w="180"/>
              <w:left w:type="dxa" w:w="240"/>
              <w:bottom w:type="dxa" w:w="180"/>
              <w:right w:type="dxa" w:w="240"/>
            </w:tcMar>
          </w:tcPr>
          <w:p>
            <w:pPr>
              <w:spacing w:after="50" w:before="50"/>
              <w:ind w:left="500" w:hanging="500"/>
            </w:pPr>
            <w:r>
              <w:rPr>
                <w:rFonts w:ascii="Arial" w:cs="Arial" w:eastAsia="Arial" w:hAnsi="Arial"/>
                <w:color w:val="1C2833"/>
                <w:sz w:val="18"/>
                <w:szCs w:val="18"/>
              </w:rPr>
              <w:t xml:space="preserve">1. Baile, W. F., Buckman, R., Lenzi, R., Glober, G., Beale, E. A., &amp; Kudelka, A. P. (2000). SPIKES—A six-step protocol for delivering bad news. The Oncologist, 5(4), 302-311. https://doi.org/10.1634/theoncologist.5-4-302</w:t>
            </w:r>
          </w:p>
          <w:p>
            <w:pPr>
              <w:spacing w:after="50" w:before="50"/>
              <w:ind w:left="500" w:hanging="500"/>
            </w:pPr>
            <w:r>
              <w:rPr>
                <w:rFonts w:ascii="Arial" w:cs="Arial" w:eastAsia="Arial" w:hAnsi="Arial"/>
                <w:color w:val="1C2833"/>
                <w:sz w:val="18"/>
                <w:szCs w:val="18"/>
              </w:rPr>
              <w:t xml:space="preserve">2. Charon, R. (2001). Narrative medicine: A model for empathy, reflection, profession, and trust. JAMA, 286(15), 1897-1902. https://doi.org/10.1001/jama.286.15.1897</w:t>
            </w:r>
          </w:p>
          <w:p>
            <w:pPr>
              <w:spacing w:after="50" w:before="50"/>
              <w:ind w:left="500" w:hanging="500"/>
            </w:pPr>
            <w:r>
              <w:rPr>
                <w:rFonts w:ascii="Arial" w:cs="Arial" w:eastAsia="Arial" w:hAnsi="Arial"/>
                <w:color w:val="1C2833"/>
                <w:sz w:val="18"/>
                <w:szCs w:val="18"/>
              </w:rPr>
              <w:t xml:space="preserve">3. Epstein, R. M. (1999). Mindful practice. JAMA, 282(9), 833-839. https://doi.org/10.1001/jama.282.9.833</w:t>
            </w:r>
          </w:p>
          <w:p>
            <w:pPr>
              <w:spacing w:after="50" w:before="50"/>
              <w:ind w:left="500" w:hanging="500"/>
            </w:pPr>
            <w:r>
              <w:rPr>
                <w:rFonts w:ascii="Arial" w:cs="Arial" w:eastAsia="Arial" w:hAnsi="Arial"/>
                <w:color w:val="1C2833"/>
                <w:sz w:val="18"/>
                <w:szCs w:val="18"/>
              </w:rPr>
              <w:t xml:space="preserve">4. Hafferty, F. W., &amp; Franks, R. (1994). The hidden curriculum, ethics teaching, and the structure of medical education. Academic Medicine, 69(11), 861-871. https://doi.org/10.1097/00001888-199411000-00001</w:t>
            </w:r>
          </w:p>
          <w:p>
            <w:pPr>
              <w:spacing w:after="50" w:before="50"/>
              <w:ind w:left="500" w:hanging="500"/>
            </w:pPr>
            <w:r>
              <w:rPr>
                <w:rFonts w:ascii="Arial" w:cs="Arial" w:eastAsia="Arial" w:hAnsi="Arial"/>
                <w:color w:val="1C2833"/>
                <w:sz w:val="18"/>
                <w:szCs w:val="18"/>
              </w:rPr>
              <w:t xml:space="preserve">5. Jonsen, A. R., Siegler, M., &amp; Winslade, W. J. (2015). Clinical Ethics: A Practical Approach (8th ed.). McGraw-Hill.</w:t>
            </w:r>
          </w:p>
          <w:p>
            <w:pPr>
              <w:spacing w:after="50" w:before="50"/>
              <w:ind w:left="500" w:hanging="500"/>
            </w:pPr>
            <w:r>
              <w:rPr>
                <w:rFonts w:ascii="Arial" w:cs="Arial" w:eastAsia="Arial" w:hAnsi="Arial"/>
                <w:color w:val="1C2833"/>
                <w:sz w:val="18"/>
                <w:szCs w:val="18"/>
              </w:rPr>
              <w:t xml:space="preserve">6. Peraturan Menteri Kesehatan Nomor 24 Tahun 2022 tentang Rekam Medis. Kementerian Kesehatan RI.</w:t>
            </w:r>
          </w:p>
          <w:p>
            <w:pPr>
              <w:spacing w:after="50" w:before="50"/>
              <w:ind w:left="500" w:hanging="500"/>
            </w:pPr>
            <w:r>
              <w:rPr>
                <w:rFonts w:ascii="Arial" w:cs="Arial" w:eastAsia="Arial" w:hAnsi="Arial"/>
                <w:color w:val="1C2833"/>
                <w:sz w:val="18"/>
                <w:szCs w:val="18"/>
              </w:rPr>
              <w:t xml:space="preserve">7. Schön, D. A. (1983). The Reflective Practitioner: How Professionals Think in Action. Basic Books.</w:t>
            </w:r>
          </w:p>
          <w:p>
            <w:pPr>
              <w:spacing w:after="50" w:before="50"/>
              <w:ind w:left="500" w:hanging="500"/>
            </w:pPr>
            <w:r>
              <w:rPr>
                <w:rFonts w:ascii="Arial" w:cs="Arial" w:eastAsia="Arial" w:hAnsi="Arial"/>
                <w:color w:val="1C2833"/>
                <w:sz w:val="18"/>
                <w:szCs w:val="18"/>
              </w:rPr>
              <w:t xml:space="preserve">8. Siswanto, B. (2026). Melampaui Kepatuhan: Hierarki Norma Manusia dari Akhlak, Budi Pekerti, Moral, Etika, hingga Hukum. Perpustakaan Digital ABBA, Jl. Kerinci Raya No. 9 Malang 65138.</w:t>
            </w:r>
          </w:p>
          <w:p>
            <w:pPr>
              <w:spacing w:after="50" w:before="50"/>
              <w:ind w:left="500" w:hanging="500"/>
            </w:pPr>
            <w:r>
              <w:rPr>
                <w:rFonts w:ascii="Arial" w:cs="Arial" w:eastAsia="Arial" w:hAnsi="Arial"/>
                <w:color w:val="1C2833"/>
                <w:sz w:val="18"/>
                <w:szCs w:val="18"/>
              </w:rPr>
              <w:t xml:space="preserve">9. Undang-Undang Republik Indonesia Nomor 17 Tahun 2023 tentang Kesehatan. Sekretariat Negara RI. https://peraturan.bpk.go.id/Details/245483</w:t>
            </w:r>
          </w:p>
          <w:p>
            <w:pPr>
              <w:spacing w:after="50" w:before="50"/>
              <w:ind w:left="500" w:hanging="500"/>
            </w:pPr>
            <w:r>
              <w:rPr>
                <w:rFonts w:ascii="Arial" w:cs="Arial" w:eastAsia="Arial" w:hAnsi="Arial"/>
                <w:color w:val="1C2833"/>
                <w:sz w:val="18"/>
                <w:szCs w:val="18"/>
              </w:rPr>
              <w:t xml:space="preserve">10. World Medical Association. (2013). Declaration of Helsinki. JAMA, 310(20), 2191-2194. https://doi.org/10.1001/jama.2013.281053</w:t>
            </w:r>
          </w:p>
        </w:tc>
      </w:tr>
    </w:tbl>
    <w:p>
      <w:r>
        <w:br w:type="page"/>
      </w:r>
    </w:p>
    <w:p>
      <w:pPr>
        <w:pStyle w:val="Heading1"/>
        <w:spacing w:after="220" w:before="440"/>
      </w:pPr>
      <w:r>
        <w:rPr>
          <w:rFonts w:ascii="Arial" w:cs="Arial" w:eastAsia="Arial" w:hAnsi="Arial"/>
          <w:b/>
          <w:bCs/>
          <w:color w:val="1A3A5C"/>
          <w:sz w:val="40"/>
          <w:szCs w:val="40"/>
        </w:rPr>
        <w:t xml:space="preserve">GLOSARIUM ISTILAH KUNCI</w:t>
      </w:r>
    </w:p>
    <w:p>
      <w:pPr>
        <w:spacing w:after="140" w:before="100" w:line="380" w:lineRule="auto"/>
        <w:jc w:val="both"/>
      </w:pPr>
      <w:r>
        <w:rPr>
          <w:rFonts w:ascii="Arial" w:cs="Arial" w:eastAsia="Arial" w:hAnsi="Arial"/>
          <w:color w:val="1C2833"/>
          <w:sz w:val="22"/>
          <w:szCs w:val="22"/>
        </w:rPr>
        <w:t xml:space="preserve">Glosarium berikut mencakup istilah teknis akademik-klinis dan istilah keislaman yang digunakan dalam buku ini.</w:t>
      </w:r>
    </w:p>
    <w:p>
      <w:pPr>
        <w:spacing w:after="100" w:before="0"/>
      </w:pPr>
      <w:r>
        <w:t xml:space="preserve"/>
      </w:r>
    </w:p>
    <w:p>
      <w:pPr>
        <w:spacing w:after="80" w:before="160"/>
        <w:jc w:val="both"/>
      </w:pPr>
      <w:r>
        <w:rPr>
          <w:rFonts w:ascii="Arial" w:cs="Arial" w:eastAsia="Arial" w:hAnsi="Arial"/>
          <w:b/>
          <w:bCs/>
          <w:color w:val="1A3A5C"/>
          <w:sz w:val="22"/>
          <w:szCs w:val="22"/>
        </w:rPr>
        <w:t xml:space="preserve">A. Istilah Akademik dan Klinis</w:t>
      </w:r>
    </w:p>
    <w:p>
      <w:pPr>
        <w:spacing w:after="40" w:before="70"/>
      </w:pPr>
      <w:r>
        <w:rPr>
          <w:rFonts w:ascii="Arial" w:cs="Arial" w:eastAsia="Arial" w:hAnsi="Arial"/>
          <w:b/>
          <w:bCs/>
          <w:color w:val="1A3A5C"/>
          <w:sz w:val="22"/>
          <w:szCs w:val="22"/>
        </w:rPr>
        <w:t xml:space="preserve">Adherence (Kepatuhan terapi): </w:t>
      </w:r>
      <w:r>
        <w:rPr>
          <w:rFonts w:ascii="Arial" w:cs="Arial" w:eastAsia="Arial" w:hAnsi="Arial"/>
          <w:color w:val="1C2833"/>
          <w:sz w:val="22"/>
          <w:szCs w:val="22"/>
        </w:rPr>
        <w:t xml:space="preserve">Sejauh mana pasien mengikuti rekomendasi medis yang disepakati bersama. Berbeda dari compliance yang berkonotasi kepatuhan pasif (WHO, 2003).</w:t>
      </w:r>
    </w:p>
    <w:p>
      <w:pPr>
        <w:spacing w:after="40" w:before="70"/>
      </w:pPr>
      <w:r>
        <w:rPr>
          <w:rFonts w:ascii="Arial" w:cs="Arial" w:eastAsia="Arial" w:hAnsi="Arial"/>
          <w:b/>
          <w:bCs/>
          <w:color w:val="1A3A5C"/>
          <w:sz w:val="22"/>
          <w:szCs w:val="22"/>
        </w:rPr>
        <w:t xml:space="preserve">Aksiologi: </w:t>
      </w:r>
      <w:r>
        <w:rPr>
          <w:rFonts w:ascii="Arial" w:cs="Arial" w:eastAsia="Arial" w:hAnsi="Arial"/>
          <w:color w:val="1C2833"/>
          <w:sz w:val="22"/>
          <w:szCs w:val="22"/>
        </w:rPr>
        <w:t xml:space="preserve">Cabang filsafat yang mempelajari nilai — apa yang dianggap baik, berharga, dan benar dalam suatu praktik atau komunitas.</w:t>
      </w:r>
    </w:p>
    <w:p>
      <w:pPr>
        <w:spacing w:after="40" w:before="70"/>
      </w:pPr>
      <w:r>
        <w:rPr>
          <w:rFonts w:ascii="Arial" w:cs="Arial" w:eastAsia="Arial" w:hAnsi="Arial"/>
          <w:b/>
          <w:bCs/>
          <w:color w:val="1A3A5C"/>
          <w:sz w:val="22"/>
          <w:szCs w:val="22"/>
        </w:rPr>
        <w:t xml:space="preserve">Bioetika: </w:t>
      </w:r>
      <w:r>
        <w:rPr>
          <w:rFonts w:ascii="Arial" w:cs="Arial" w:eastAsia="Arial" w:hAnsi="Arial"/>
          <w:color w:val="1C2833"/>
          <w:sz w:val="22"/>
          <w:szCs w:val="22"/>
        </w:rPr>
        <w:t xml:space="preserve">Disiplin akademis yang mengkaji implikasi etis dari kemajuan ilmu kehidupan dan kedokteran; mencakup empat prinsip fundamental Beauchamp &amp; Childress (2019).</w:t>
      </w:r>
    </w:p>
    <w:p>
      <w:pPr>
        <w:spacing w:after="40" w:before="70"/>
      </w:pPr>
      <w:r>
        <w:rPr>
          <w:rFonts w:ascii="Arial" w:cs="Arial" w:eastAsia="Arial" w:hAnsi="Arial"/>
          <w:b/>
          <w:bCs/>
          <w:color w:val="1A3A5C"/>
          <w:sz w:val="22"/>
          <w:szCs w:val="22"/>
        </w:rPr>
        <w:t xml:space="preserve">Biopsikososial: </w:t>
      </w:r>
      <w:r>
        <w:rPr>
          <w:rFonts w:ascii="Arial" w:cs="Arial" w:eastAsia="Arial" w:hAnsi="Arial"/>
          <w:color w:val="1C2833"/>
          <w:sz w:val="22"/>
          <w:szCs w:val="22"/>
        </w:rPr>
        <w:t xml:space="preserve">Model yang mengintegrasikan dimensi biologis, psikologis, dan sosial dalam memahami penyakit (Engel, 1977). Dikembangkan sebagai alternatif terhadap reduksionisme biomedis.</w:t>
      </w:r>
    </w:p>
    <w:p>
      <w:pPr>
        <w:spacing w:after="40" w:before="70"/>
      </w:pPr>
      <w:r>
        <w:rPr>
          <w:rFonts w:ascii="Arial" w:cs="Arial" w:eastAsia="Arial" w:hAnsi="Arial"/>
          <w:b/>
          <w:bCs/>
          <w:color w:val="1A3A5C"/>
          <w:sz w:val="22"/>
          <w:szCs w:val="22"/>
        </w:rPr>
        <w:t xml:space="preserve">Burnout: </w:t>
      </w:r>
      <w:r>
        <w:rPr>
          <w:rFonts w:ascii="Arial" w:cs="Arial" w:eastAsia="Arial" w:hAnsi="Arial"/>
          <w:color w:val="1C2833"/>
          <w:sz w:val="22"/>
          <w:szCs w:val="22"/>
        </w:rPr>
        <w:t xml:space="preserve">Sindrom kelelahan emosional, depersonalisasi, dan penurunan pencapaian personal; mempengaruhi 30-50% dokter pada beberapa titik karier.</w:t>
      </w:r>
    </w:p>
    <w:p>
      <w:pPr>
        <w:spacing w:after="40" w:before="70"/>
      </w:pPr>
      <w:r>
        <w:rPr>
          <w:rFonts w:ascii="Arial" w:cs="Arial" w:eastAsia="Arial" w:hAnsi="Arial"/>
          <w:b/>
          <w:bCs/>
          <w:color w:val="1A3A5C"/>
          <w:sz w:val="22"/>
          <w:szCs w:val="22"/>
        </w:rPr>
        <w:t xml:space="preserve">Cultural Competence: </w:t>
      </w:r>
      <w:r>
        <w:rPr>
          <w:rFonts w:ascii="Arial" w:cs="Arial" w:eastAsia="Arial" w:hAnsi="Arial"/>
          <w:color w:val="1C2833"/>
          <w:sz w:val="22"/>
          <w:szCs w:val="22"/>
        </w:rPr>
        <w:t xml:space="preserve">Kemampuan bekerja efektif dalam konteks budaya yang beragam, termasuk kesadaran tentang bias budaya diri sendiri (AAMC, 2005).</w:t>
      </w:r>
    </w:p>
    <w:p>
      <w:pPr>
        <w:spacing w:after="40" w:before="70"/>
      </w:pPr>
      <w:r>
        <w:rPr>
          <w:rFonts w:ascii="Arial" w:cs="Arial" w:eastAsia="Arial" w:hAnsi="Arial"/>
          <w:b/>
          <w:bCs/>
          <w:color w:val="1A3A5C"/>
          <w:sz w:val="22"/>
          <w:szCs w:val="22"/>
        </w:rPr>
        <w:t xml:space="preserve">EBM (Evidence-Based Medicine): </w:t>
      </w:r>
      <w:r>
        <w:rPr>
          <w:rFonts w:ascii="Arial" w:cs="Arial" w:eastAsia="Arial" w:hAnsi="Arial"/>
          <w:color w:val="1C2833"/>
          <w:sz w:val="22"/>
          <w:szCs w:val="22"/>
        </w:rPr>
        <w:t xml:space="preserve">Integrasi cermat antara bukti penelitian terbaik, keahlian klinis dokter, dan nilai serta preferensi pasien (Sackett et al., 1996; DOI: 10.1136/bmj.312.7023.71).</w:t>
      </w:r>
    </w:p>
    <w:p>
      <w:pPr>
        <w:spacing w:after="40" w:before="70"/>
      </w:pPr>
      <w:r>
        <w:rPr>
          <w:rFonts w:ascii="Arial" w:cs="Arial" w:eastAsia="Arial" w:hAnsi="Arial"/>
          <w:b/>
          <w:bCs/>
          <w:color w:val="1A3A5C"/>
          <w:sz w:val="22"/>
          <w:szCs w:val="22"/>
        </w:rPr>
        <w:t xml:space="preserve">Empati Klinis: </w:t>
      </w:r>
      <w:r>
        <w:rPr>
          <w:rFonts w:ascii="Arial" w:cs="Arial" w:eastAsia="Arial" w:hAnsi="Arial"/>
          <w:color w:val="1C2833"/>
          <w:sz w:val="22"/>
          <w:szCs w:val="22"/>
        </w:rPr>
        <w:t xml:space="preserve">Kemampuan memahami dan merespons kondisi emosional pasien secara akurat tanpa kehilangan objektivitas profesional; mencakup perspective-taking, emotional attunement, dan empathic communication (Halpern, 2001; Zinn, 1993; DOI: 10.1001/archinte.1993.00410030040005).</w:t>
      </w:r>
    </w:p>
    <w:p>
      <w:pPr>
        <w:spacing w:after="40" w:before="70"/>
      </w:pPr>
      <w:r>
        <w:rPr>
          <w:rFonts w:ascii="Arial" w:cs="Arial" w:eastAsia="Arial" w:hAnsi="Arial"/>
          <w:b/>
          <w:bCs/>
          <w:color w:val="1A3A5C"/>
          <w:sz w:val="22"/>
          <w:szCs w:val="22"/>
        </w:rPr>
        <w:t xml:space="preserve">Epistemologi: </w:t>
      </w:r>
      <w:r>
        <w:rPr>
          <w:rFonts w:ascii="Arial" w:cs="Arial" w:eastAsia="Arial" w:hAnsi="Arial"/>
          <w:color w:val="1C2833"/>
          <w:sz w:val="22"/>
          <w:szCs w:val="22"/>
        </w:rPr>
        <w:t xml:space="preserve">Cabang filsafat yang mempertanyakan hakikat, sumber, dan batas pengetahuan; relevan dalam memahami dasar pengetahuan klinis dan ketidakpastian yang melekat dalam pengambilan keputusan medis.</w:t>
      </w:r>
    </w:p>
    <w:p>
      <w:pPr>
        <w:spacing w:after="40" w:before="70"/>
      </w:pPr>
      <w:r>
        <w:rPr>
          <w:rFonts w:ascii="Arial" w:cs="Arial" w:eastAsia="Arial" w:hAnsi="Arial"/>
          <w:b/>
          <w:bCs/>
          <w:color w:val="1A3A5C"/>
          <w:sz w:val="22"/>
          <w:szCs w:val="22"/>
        </w:rPr>
        <w:t xml:space="preserve">Four-Boxes Method: </w:t>
      </w:r>
      <w:r>
        <w:rPr>
          <w:rFonts w:ascii="Arial" w:cs="Arial" w:eastAsia="Arial" w:hAnsi="Arial"/>
          <w:color w:val="1C2833"/>
          <w:sz w:val="22"/>
          <w:szCs w:val="22"/>
        </w:rPr>
        <w:t xml:space="preserve">Kerangka analisis dilema etis klinis: Medical Indications, Patient Preferences, Quality of Life, dan Contextual Features (Jonsen, Siegler &amp; Winslade, 2015).</w:t>
      </w:r>
    </w:p>
    <w:p>
      <w:pPr>
        <w:spacing w:after="40" w:before="70"/>
      </w:pPr>
      <w:r>
        <w:rPr>
          <w:rFonts w:ascii="Arial" w:cs="Arial" w:eastAsia="Arial" w:hAnsi="Arial"/>
          <w:b/>
          <w:bCs/>
          <w:color w:val="1A3A5C"/>
          <w:sz w:val="22"/>
          <w:szCs w:val="22"/>
        </w:rPr>
        <w:t xml:space="preserve">GAD-7: </w:t>
      </w:r>
      <w:r>
        <w:rPr>
          <w:rFonts w:ascii="Arial" w:cs="Arial" w:eastAsia="Arial" w:hAnsi="Arial"/>
          <w:color w:val="1C2833"/>
          <w:sz w:val="22"/>
          <w:szCs w:val="22"/>
        </w:rPr>
        <w:t xml:space="preserve">Generalized Anxiety Disorder-7; instrumen skrining tujuh item dengan skor 0-21 untuk kecemasan dalam konteks klinis (Spitzer et al., 2006; DOI: 10.1001/archinte.166.10.1092).</w:t>
      </w:r>
    </w:p>
    <w:p>
      <w:pPr>
        <w:spacing w:after="40" w:before="70"/>
      </w:pPr>
      <w:r>
        <w:rPr>
          <w:rFonts w:ascii="Arial" w:cs="Arial" w:eastAsia="Arial" w:hAnsi="Arial"/>
          <w:b/>
          <w:bCs/>
          <w:color w:val="1A3A5C"/>
          <w:sz w:val="22"/>
          <w:szCs w:val="22"/>
        </w:rPr>
        <w:t xml:space="preserve">HRQoL (Health-Related Quality of Life): </w:t>
      </w:r>
      <w:r>
        <w:rPr>
          <w:rFonts w:ascii="Arial" w:cs="Arial" w:eastAsia="Arial" w:hAnsi="Arial"/>
          <w:color w:val="1C2833"/>
          <w:sz w:val="22"/>
          <w:szCs w:val="22"/>
        </w:rPr>
        <w:t xml:space="preserve">Konsep yang mengintegrasikan dampak fungsional, psikologis, dan sosial dari kondisi kesehatan terhadap kesejahteraan individu; diukur dengan SF-36 (Ware &amp; Sherbourne, 1992; DOI: 10.1097/00005650-199206000-00002).</w:t>
      </w:r>
    </w:p>
    <w:p>
      <w:pPr>
        <w:spacing w:after="40" w:before="70"/>
      </w:pPr>
      <w:r>
        <w:rPr>
          <w:rFonts w:ascii="Arial" w:cs="Arial" w:eastAsia="Arial" w:hAnsi="Arial"/>
          <w:b/>
          <w:bCs/>
          <w:color w:val="1A3A5C"/>
          <w:sz w:val="22"/>
          <w:szCs w:val="22"/>
        </w:rPr>
        <w:t xml:space="preserve">Informed Consent: </w:t>
      </w:r>
      <w:r>
        <w:rPr>
          <w:rFonts w:ascii="Arial" w:cs="Arial" w:eastAsia="Arial" w:hAnsi="Arial"/>
          <w:color w:val="1C2833"/>
          <w:sz w:val="22"/>
          <w:szCs w:val="22"/>
        </w:rPr>
        <w:t xml:space="preserve">Proses persetujuan tindakan medis yang memenuhi tiga kondisi: disclosure yang memadai, comprehension yang genuine, dan voluntariness yang sesungguhnya (Faden &amp; Beauchamp, 1986).</w:t>
      </w:r>
    </w:p>
    <w:p>
      <w:pPr>
        <w:spacing w:after="40" w:before="70"/>
      </w:pPr>
      <w:r>
        <w:rPr>
          <w:rFonts w:ascii="Arial" w:cs="Arial" w:eastAsia="Arial" w:hAnsi="Arial"/>
          <w:b/>
          <w:bCs/>
          <w:color w:val="1A3A5C"/>
          <w:sz w:val="22"/>
          <w:szCs w:val="22"/>
        </w:rPr>
        <w:t xml:space="preserve">KODEKI: </w:t>
      </w:r>
      <w:r>
        <w:rPr>
          <w:rFonts w:ascii="Arial" w:cs="Arial" w:eastAsia="Arial" w:hAnsi="Arial"/>
          <w:color w:val="1C2833"/>
          <w:sz w:val="22"/>
          <w:szCs w:val="22"/>
        </w:rPr>
        <w:t xml:space="preserve">Kode Etik Kedokteran Indonesia; dokumen IDI yang mengoperasionalkan prinsip-prinsip etika profesi kedokteran dalam aturan-aturan praktis.</w:t>
      </w:r>
    </w:p>
    <w:p>
      <w:pPr>
        <w:spacing w:after="40" w:before="70"/>
      </w:pPr>
      <w:r>
        <w:rPr>
          <w:rFonts w:ascii="Arial" w:cs="Arial" w:eastAsia="Arial" w:hAnsi="Arial"/>
          <w:b/>
          <w:bCs/>
          <w:color w:val="1A3A5C"/>
          <w:sz w:val="22"/>
          <w:szCs w:val="22"/>
        </w:rPr>
        <w:t xml:space="preserve">MDP (Majelis Disiplin Profesi): </w:t>
      </w:r>
      <w:r>
        <w:rPr>
          <w:rFonts w:ascii="Arial" w:cs="Arial" w:eastAsia="Arial" w:hAnsi="Arial"/>
          <w:color w:val="1C2833"/>
          <w:sz w:val="22"/>
          <w:szCs w:val="22"/>
        </w:rPr>
        <w:t xml:space="preserve">Lembaga penegak disiplin profesi kesehatan berdasarkan UU No. 17 Tahun 2023, berkedudukan di bawah Konsil Kesehatan Indonesia; menggantikan MKDKI.</w:t>
      </w:r>
    </w:p>
    <w:p>
      <w:pPr>
        <w:spacing w:after="40" w:before="70"/>
      </w:pPr>
      <w:r>
        <w:rPr>
          <w:rFonts w:ascii="Arial" w:cs="Arial" w:eastAsia="Arial" w:hAnsi="Arial"/>
          <w:b/>
          <w:bCs/>
          <w:color w:val="1A3A5C"/>
          <w:sz w:val="22"/>
          <w:szCs w:val="22"/>
        </w:rPr>
        <w:t xml:space="preserve">Multimorbiditas: </w:t>
      </w:r>
      <w:r>
        <w:rPr>
          <w:rFonts w:ascii="Arial" w:cs="Arial" w:eastAsia="Arial" w:hAnsi="Arial"/>
          <w:color w:val="1C2833"/>
          <w:sz w:val="22"/>
          <w:szCs w:val="22"/>
        </w:rPr>
        <w:t xml:space="preserve">Dua atau lebih kondisi kronis secara bersamaan dalam satu pasien; sangat umum pada usia di atas 65 tahun.</w:t>
      </w:r>
    </w:p>
    <w:p>
      <w:pPr>
        <w:spacing w:after="40" w:before="70"/>
      </w:pPr>
      <w:r>
        <w:rPr>
          <w:rFonts w:ascii="Arial" w:cs="Arial" w:eastAsia="Arial" w:hAnsi="Arial"/>
          <w:b/>
          <w:bCs/>
          <w:color w:val="1A3A5C"/>
          <w:sz w:val="22"/>
          <w:szCs w:val="22"/>
        </w:rPr>
        <w:t xml:space="preserve">Narrative Medicine: </w:t>
      </w:r>
      <w:r>
        <w:rPr>
          <w:rFonts w:ascii="Arial" w:cs="Arial" w:eastAsia="Arial" w:hAnsi="Arial"/>
          <w:color w:val="1C2833"/>
          <w:sz w:val="22"/>
          <w:szCs w:val="22"/>
        </w:rPr>
        <w:t xml:space="preserve">Pendekatan yang mengidentifikasi kemampuan mendengarkan, memahami, dan merespons cerita pasien sebagai kompetensi klinis fundamental (Charon, 2001; DOI: 10.1001/jama.286.15.1897).</w:t>
      </w:r>
    </w:p>
    <w:p>
      <w:pPr>
        <w:spacing w:after="40" w:before="70"/>
      </w:pPr>
      <w:r>
        <w:rPr>
          <w:rFonts w:ascii="Arial" w:cs="Arial" w:eastAsia="Arial" w:hAnsi="Arial"/>
          <w:b/>
          <w:bCs/>
          <w:color w:val="1A3A5C"/>
          <w:sz w:val="22"/>
          <w:szCs w:val="22"/>
        </w:rPr>
        <w:t xml:space="preserve">NURSE: </w:t>
      </w:r>
      <w:r>
        <w:rPr>
          <w:rFonts w:ascii="Arial" w:cs="Arial" w:eastAsia="Arial" w:hAnsi="Arial"/>
          <w:color w:val="1C2833"/>
          <w:sz w:val="22"/>
          <w:szCs w:val="22"/>
        </w:rPr>
        <w:t xml:space="preserve">Akronim teknik merespons emosi pasien: Naming, Understanding, Respecting, Supporting, Exploring.</w:t>
      </w:r>
    </w:p>
    <w:p>
      <w:pPr>
        <w:spacing w:after="40" w:before="70"/>
      </w:pPr>
      <w:r>
        <w:rPr>
          <w:rFonts w:ascii="Arial" w:cs="Arial" w:eastAsia="Arial" w:hAnsi="Arial"/>
          <w:b/>
          <w:bCs/>
          <w:color w:val="1A3A5C"/>
          <w:sz w:val="22"/>
          <w:szCs w:val="22"/>
        </w:rPr>
        <w:t xml:space="preserve">Ontologi: </w:t>
      </w:r>
      <w:r>
        <w:rPr>
          <w:rFonts w:ascii="Arial" w:cs="Arial" w:eastAsia="Arial" w:hAnsi="Arial"/>
          <w:color w:val="1C2833"/>
          <w:sz w:val="22"/>
          <w:szCs w:val="22"/>
        </w:rPr>
        <w:t xml:space="preserve">Cabang filsafat yang mempelajari hakikat keberadaan; dalam konteks kedokteran, berkaitan dengan pertanyaan tentang hakikat pasien sebagai manusia holistik.</w:t>
      </w:r>
    </w:p>
    <w:p>
      <w:pPr>
        <w:spacing w:after="40" w:before="70"/>
      </w:pPr>
      <w:r>
        <w:rPr>
          <w:rFonts w:ascii="Arial" w:cs="Arial" w:eastAsia="Arial" w:hAnsi="Arial"/>
          <w:b/>
          <w:bCs/>
          <w:color w:val="1A3A5C"/>
          <w:sz w:val="22"/>
          <w:szCs w:val="22"/>
        </w:rPr>
        <w:t xml:space="preserve">PCC (Person-Centered Care): </w:t>
      </w:r>
      <w:r>
        <w:rPr>
          <w:rFonts w:ascii="Arial" w:cs="Arial" w:eastAsia="Arial" w:hAnsi="Arial"/>
          <w:color w:val="1C2833"/>
          <w:sz w:val="22"/>
          <w:szCs w:val="22"/>
        </w:rPr>
        <w:t xml:space="preserve">Pendekatan perawatan yang menempatkan nilai, preferensi, dan kebutuhan pasien sebagai pusat semua keputusan klinis; terdiri dari lima dimensi (Mead &amp; Bower, 2000; DOI: 10.1016/S0277-9536(00)00098-8).</w:t>
      </w:r>
    </w:p>
    <w:p>
      <w:pPr>
        <w:spacing w:after="40" w:before="70"/>
      </w:pPr>
      <w:r>
        <w:rPr>
          <w:rFonts w:ascii="Arial" w:cs="Arial" w:eastAsia="Arial" w:hAnsi="Arial"/>
          <w:b/>
          <w:bCs/>
          <w:color w:val="1A3A5C"/>
          <w:sz w:val="22"/>
          <w:szCs w:val="22"/>
        </w:rPr>
        <w:t xml:space="preserve">PHQ-9: </w:t>
      </w:r>
      <w:r>
        <w:rPr>
          <w:rFonts w:ascii="Arial" w:cs="Arial" w:eastAsia="Arial" w:hAnsi="Arial"/>
          <w:color w:val="1C2833"/>
          <w:sz w:val="22"/>
          <w:szCs w:val="22"/>
        </w:rPr>
        <w:t xml:space="preserve">Patient Health Questionnaire-9; instrumen skrining sembilan item dengan skor 0-27 untuk depresi dalam konteks klinis (Kroenke et al., 2001; DOI: 10.1046/j.1525-1497.2001.016009606.x).</w:t>
      </w:r>
    </w:p>
    <w:p>
      <w:pPr>
        <w:spacing w:after="40" w:before="70"/>
      </w:pPr>
      <w:r>
        <w:rPr>
          <w:rFonts w:ascii="Arial" w:cs="Arial" w:eastAsia="Arial" w:hAnsi="Arial"/>
          <w:b/>
          <w:bCs/>
          <w:color w:val="1A3A5C"/>
          <w:sz w:val="22"/>
          <w:szCs w:val="22"/>
        </w:rPr>
        <w:t xml:space="preserve">Phronesis: </w:t>
      </w:r>
      <w:r>
        <w:rPr>
          <w:rFonts w:ascii="Arial" w:cs="Arial" w:eastAsia="Arial" w:hAnsi="Arial"/>
          <w:color w:val="1C2833"/>
          <w:sz w:val="22"/>
          <w:szCs w:val="22"/>
        </w:rPr>
        <w:t xml:space="preserve">Kebijaksanaan praktis menurut Aristoteles; kemampuan menilai situasi konkret secara bijaksana dalam terang nilai-nilai yang relevan.</w:t>
      </w:r>
    </w:p>
    <w:p>
      <w:pPr>
        <w:spacing w:after="40" w:before="70"/>
      </w:pPr>
      <w:r>
        <w:rPr>
          <w:rFonts w:ascii="Arial" w:cs="Arial" w:eastAsia="Arial" w:hAnsi="Arial"/>
          <w:b/>
          <w:bCs/>
          <w:color w:val="1A3A5C"/>
          <w:sz w:val="22"/>
          <w:szCs w:val="22"/>
        </w:rPr>
        <w:t xml:space="preserve">P2KB: </w:t>
      </w:r>
      <w:r>
        <w:rPr>
          <w:rFonts w:ascii="Arial" w:cs="Arial" w:eastAsia="Arial" w:hAnsi="Arial"/>
          <w:color w:val="1C2833"/>
          <w:sz w:val="22"/>
          <w:szCs w:val="22"/>
        </w:rPr>
        <w:t xml:space="preserve">Program Pendidikan Kedokteran Berkelanjutan; sistem CPD bagi dokter di Indonesia melalui SKP IDI sebagai syarat perpanjangan STR setiap lima tahun.</w:t>
      </w:r>
    </w:p>
    <w:p>
      <w:pPr>
        <w:spacing w:after="40" w:before="70"/>
      </w:pPr>
      <w:r>
        <w:rPr>
          <w:rFonts w:ascii="Arial" w:cs="Arial" w:eastAsia="Arial" w:hAnsi="Arial"/>
          <w:b/>
          <w:bCs/>
          <w:color w:val="1A3A5C"/>
          <w:sz w:val="22"/>
          <w:szCs w:val="22"/>
        </w:rPr>
        <w:t xml:space="preserve">Reflective Practice: </w:t>
      </w:r>
      <w:r>
        <w:rPr>
          <w:rFonts w:ascii="Arial" w:cs="Arial" w:eastAsia="Arial" w:hAnsi="Arial"/>
          <w:color w:val="1C2833"/>
          <w:sz w:val="22"/>
          <w:szCs w:val="22"/>
        </w:rPr>
        <w:t xml:space="preserve">Kemampuan berpikir kritis tentang pengalaman klinis untuk meningkatkan pemahaman dan keterampilan; mencakup reflection-in-action dan reflection-on-action (Schön, 1983).</w:t>
      </w:r>
    </w:p>
    <w:p>
      <w:pPr>
        <w:spacing w:after="40" w:before="70"/>
      </w:pPr>
      <w:r>
        <w:rPr>
          <w:rFonts w:ascii="Arial" w:cs="Arial" w:eastAsia="Arial" w:hAnsi="Arial"/>
          <w:b/>
          <w:bCs/>
          <w:color w:val="1A3A5C"/>
          <w:sz w:val="22"/>
          <w:szCs w:val="22"/>
        </w:rPr>
        <w:t xml:space="preserve">SKDI: </w:t>
      </w:r>
      <w:r>
        <w:rPr>
          <w:rFonts w:ascii="Arial" w:cs="Arial" w:eastAsia="Arial" w:hAnsi="Arial"/>
          <w:color w:val="1C2833"/>
          <w:sz w:val="22"/>
          <w:szCs w:val="22"/>
        </w:rPr>
        <w:t xml:space="preserve">Standar Kompetensi Dokter Indonesia (KKI, 2012); menetapkan tujuh area kompetensi dokter dengan Area Kompetensi 1 (Profesionalisme) sebagai fondasi.</w:t>
      </w:r>
    </w:p>
    <w:p>
      <w:pPr>
        <w:spacing w:after="40" w:before="70"/>
      </w:pPr>
      <w:r>
        <w:rPr>
          <w:rFonts w:ascii="Arial" w:cs="Arial" w:eastAsia="Arial" w:hAnsi="Arial"/>
          <w:b/>
          <w:bCs/>
          <w:color w:val="1A3A5C"/>
          <w:sz w:val="22"/>
          <w:szCs w:val="22"/>
        </w:rPr>
        <w:t xml:space="preserve">SPIKES: </w:t>
      </w:r>
      <w:r>
        <w:rPr>
          <w:rFonts w:ascii="Arial" w:cs="Arial" w:eastAsia="Arial" w:hAnsi="Arial"/>
          <w:color w:val="1C2833"/>
          <w:sz w:val="22"/>
          <w:szCs w:val="22"/>
        </w:rPr>
        <w:t xml:space="preserve">Protokol enam langkah untuk penyampaian berita buruk: Setting, Perception, Invitation, Knowledge, Emotions, Summary &amp; Strategy (Baile et al., 2000; DOI: 10.1634/theoncologist.5-4-302).</w:t>
      </w:r>
    </w:p>
    <w:p>
      <w:pPr>
        <w:spacing w:after="40" w:before="70"/>
      </w:pPr>
      <w:r>
        <w:rPr>
          <w:rFonts w:ascii="Arial" w:cs="Arial" w:eastAsia="Arial" w:hAnsi="Arial"/>
          <w:b/>
          <w:bCs/>
          <w:color w:val="1A3A5C"/>
          <w:sz w:val="22"/>
          <w:szCs w:val="22"/>
        </w:rPr>
        <w:t xml:space="preserve">Tacit Knowledge: </w:t>
      </w:r>
      <w:r>
        <w:rPr>
          <w:rFonts w:ascii="Arial" w:cs="Arial" w:eastAsia="Arial" w:hAnsi="Arial"/>
          <w:color w:val="1C2833"/>
          <w:sz w:val="22"/>
          <w:szCs w:val="22"/>
        </w:rPr>
        <w:t xml:space="preserve">Pengetahuan yang diwujudkan dalam tindakan tetapi sulit diungkapkan secara verbal (Polanyi, 1966); berkembang melalui pengalaman klinis yang dipandu mentor.</w:t>
      </w:r>
    </w:p>
    <w:p>
      <w:pPr>
        <w:spacing w:after="100" w:before="0"/>
      </w:pPr>
      <w:r>
        <w:t xml:space="preserve"/>
      </w:r>
    </w:p>
    <w:p>
      <w:pPr>
        <w:spacing w:after="80" w:before="160"/>
        <w:jc w:val="both"/>
      </w:pPr>
      <w:r>
        <w:rPr>
          <w:rFonts w:ascii="Arial" w:cs="Arial" w:eastAsia="Arial" w:hAnsi="Arial"/>
          <w:b/>
          <w:bCs/>
          <w:color w:val="1A3A5C"/>
          <w:sz w:val="22"/>
          <w:szCs w:val="22"/>
        </w:rPr>
        <w:t xml:space="preserve">B. Istilah Keislaman</w:t>
      </w:r>
    </w:p>
    <w:p>
      <w:pPr>
        <w:spacing w:after="40" w:before="70"/>
      </w:pPr>
      <w:r>
        <w:rPr>
          <w:rFonts w:ascii="Arial" w:cs="Arial" w:eastAsia="Arial" w:hAnsi="Arial"/>
          <w:b/>
          <w:bCs/>
          <w:color w:val="1A3A5C"/>
          <w:sz w:val="22"/>
          <w:szCs w:val="22"/>
        </w:rPr>
        <w:t xml:space="preserve">Adab: </w:t>
      </w:r>
      <w:r>
        <w:rPr>
          <w:rFonts w:ascii="Arial" w:cs="Arial" w:eastAsia="Arial" w:hAnsi="Arial"/>
          <w:color w:val="1C2833"/>
          <w:sz w:val="22"/>
          <w:szCs w:val="22"/>
        </w:rPr>
        <w:t xml:space="preserve">Etika perilaku yang baik dan sesuai tuntunan syariat; dalam tradisi keilmuan Islam, adab dipelajari mendahului ilmu (al-adabu qabla al-'ilm).</w:t>
      </w:r>
    </w:p>
    <w:p>
      <w:pPr>
        <w:spacing w:after="40" w:before="70"/>
      </w:pPr>
      <w:r>
        <w:rPr>
          <w:rFonts w:ascii="Arial" w:cs="Arial" w:eastAsia="Arial" w:hAnsi="Arial"/>
          <w:b/>
          <w:bCs/>
          <w:color w:val="1A3A5C"/>
          <w:sz w:val="22"/>
          <w:szCs w:val="22"/>
        </w:rPr>
        <w:t xml:space="preserve">Akhlak: </w:t>
      </w:r>
      <w:r>
        <w:rPr>
          <w:rFonts w:ascii="Arial" w:cs="Arial" w:eastAsia="Arial" w:hAnsi="Arial"/>
          <w:color w:val="1C2833"/>
          <w:sz w:val="22"/>
          <w:szCs w:val="22"/>
        </w:rPr>
        <w:t xml:space="preserve">Norma perilaku tertinggi yang bersumber dari wahyu Allah SWT; sifat yang tertanam dalam jiwa sehingga perbuatan baik muncul secara natural tanpa perlu pertimbangan (Al-Ghazali, Ihya' Ulumiddin). Berbeda fundamental dari etika karena sumber otoritasnya adalah firman Allah, bukan konsensus manusia (Siswanto, 2026).</w:t>
      </w:r>
    </w:p>
    <w:p>
      <w:pPr>
        <w:spacing w:after="40" w:before="70"/>
      </w:pPr>
      <w:r>
        <w:rPr>
          <w:rFonts w:ascii="Arial" w:cs="Arial" w:eastAsia="Arial" w:hAnsi="Arial"/>
          <w:b/>
          <w:bCs/>
          <w:color w:val="1A3A5C"/>
          <w:sz w:val="22"/>
          <w:szCs w:val="22"/>
        </w:rPr>
        <w:t xml:space="preserve">Amanah: </w:t>
      </w:r>
      <w:r>
        <w:rPr>
          <w:rFonts w:ascii="Arial" w:cs="Arial" w:eastAsia="Arial" w:hAnsi="Arial"/>
          <w:color w:val="1C2833"/>
          <w:sz w:val="22"/>
          <w:szCs w:val="22"/>
        </w:rPr>
        <w:t xml:space="preserve">Kepercayaan yang dititipkan dan wajib dijaga serta ditunaikan kepada yang berhak menerimanya (QS. An-Nisa: 58); dalam konteks klinis, merujuk pada kepercayaan pasien kepada dokter yang harus dijaga dengan integritas total.</w:t>
      </w:r>
    </w:p>
    <w:p>
      <w:pPr>
        <w:spacing w:after="40" w:before="70"/>
      </w:pPr>
      <w:r>
        <w:rPr>
          <w:rFonts w:ascii="Arial" w:cs="Arial" w:eastAsia="Arial" w:hAnsi="Arial"/>
          <w:b/>
          <w:bCs/>
          <w:color w:val="1A3A5C"/>
          <w:sz w:val="22"/>
          <w:szCs w:val="22"/>
        </w:rPr>
        <w:t xml:space="preserve">Bala': </w:t>
      </w:r>
      <w:r>
        <w:rPr>
          <w:rFonts w:ascii="Arial" w:cs="Arial" w:eastAsia="Arial" w:hAnsi="Arial"/>
          <w:color w:val="1C2833"/>
          <w:sz w:val="22"/>
          <w:szCs w:val="22"/>
        </w:rPr>
        <w:t xml:space="preserve">Ujian atau cobaan dari Allah, termasuk sakit; jika dihadapi dengan sabar membawa pahala dan penghapus dosa (HR. Bukhari No. 5641; HR. Muslim No. 2573).</w:t>
      </w:r>
    </w:p>
    <w:p>
      <w:pPr>
        <w:spacing w:after="40" w:before="70"/>
      </w:pPr>
      <w:r>
        <w:rPr>
          <w:rFonts w:ascii="Arial" w:cs="Arial" w:eastAsia="Arial" w:hAnsi="Arial"/>
          <w:b/>
          <w:bCs/>
          <w:color w:val="1A3A5C"/>
          <w:sz w:val="22"/>
          <w:szCs w:val="22"/>
        </w:rPr>
        <w:t xml:space="preserve">Hifzh al-Nafs: </w:t>
      </w:r>
      <w:r>
        <w:rPr>
          <w:rFonts w:ascii="Arial" w:cs="Arial" w:eastAsia="Arial" w:hAnsi="Arial"/>
          <w:color w:val="1C2833"/>
          <w:sz w:val="22"/>
          <w:szCs w:val="22"/>
        </w:rPr>
        <w:t xml:space="preserve">Penjagaan jiwa dan nyawa; salah satu dari lima maqashid syariah yang menjadi landasan filosofis utama seluruh praktik kedokteran dalam Islam (Al-Syatibi, Al-Muwafaqat; Al-Zuhaili, Ushul al-Fiqh al-Islami).</w:t>
      </w:r>
    </w:p>
    <w:p>
      <w:pPr>
        <w:spacing w:after="40" w:before="70"/>
      </w:pPr>
      <w:r>
        <w:rPr>
          <w:rFonts w:ascii="Arial" w:cs="Arial" w:eastAsia="Arial" w:hAnsi="Arial"/>
          <w:b/>
          <w:bCs/>
          <w:color w:val="1A3A5C"/>
          <w:sz w:val="22"/>
          <w:szCs w:val="22"/>
        </w:rPr>
        <w:t xml:space="preserve">Hikmah: </w:t>
      </w:r>
      <w:r>
        <w:rPr>
          <w:rFonts w:ascii="Arial" w:cs="Arial" w:eastAsia="Arial" w:hAnsi="Arial"/>
          <w:color w:val="1C2833"/>
          <w:sz w:val="22"/>
          <w:szCs w:val="22"/>
        </w:rPr>
        <w:t xml:space="preserve">Kebijaksanaan dan ilmu yang bermanfaat; karunia dari Allah (QS. Al-Baqarah: 269); berpadanan konseptual dengan phronesis Aristoteles.</w:t>
      </w:r>
    </w:p>
    <w:p>
      <w:pPr>
        <w:spacing w:after="40" w:before="70"/>
      </w:pPr>
      <w:r>
        <w:rPr>
          <w:rFonts w:ascii="Arial" w:cs="Arial" w:eastAsia="Arial" w:hAnsi="Arial"/>
          <w:b/>
          <w:bCs/>
          <w:color w:val="1A3A5C"/>
          <w:sz w:val="22"/>
          <w:szCs w:val="22"/>
        </w:rPr>
        <w:t xml:space="preserve">Ihsan: </w:t>
      </w:r>
      <w:r>
        <w:rPr>
          <w:rFonts w:ascii="Arial" w:cs="Arial" w:eastAsia="Arial" w:hAnsi="Arial"/>
          <w:color w:val="1C2833"/>
          <w:sz w:val="22"/>
          <w:szCs w:val="22"/>
        </w:rPr>
        <w:t xml:space="preserve">Berbuat sebaik-baiknya, melampaui standar minimum; Allah mewajibkan ihsan dalam segala sesuatu (HR. Muslim No. 1955).</w:t>
      </w:r>
    </w:p>
    <w:p>
      <w:pPr>
        <w:spacing w:after="40" w:before="70"/>
      </w:pPr>
      <w:r>
        <w:rPr>
          <w:rFonts w:ascii="Arial" w:cs="Arial" w:eastAsia="Arial" w:hAnsi="Arial"/>
          <w:b/>
          <w:bCs/>
          <w:color w:val="1A3A5C"/>
          <w:sz w:val="22"/>
          <w:szCs w:val="22"/>
        </w:rPr>
        <w:t xml:space="preserve">Itqan: </w:t>
      </w:r>
      <w:r>
        <w:rPr>
          <w:rFonts w:ascii="Arial" w:cs="Arial" w:eastAsia="Arial" w:hAnsi="Arial"/>
          <w:color w:val="1C2833"/>
          <w:sz w:val="22"/>
          <w:szCs w:val="22"/>
        </w:rPr>
        <w:t xml:space="preserve">Kesungguhan, ketelitian, dan kualitas terbaik dalam bekerja; Allah mencintai pekerjaan yang dilakukan dengan itqan (HR. al-Thabrani).</w:t>
      </w:r>
    </w:p>
    <w:p>
      <w:pPr>
        <w:spacing w:after="40" w:before="70"/>
      </w:pPr>
      <w:r>
        <w:rPr>
          <w:rFonts w:ascii="Arial" w:cs="Arial" w:eastAsia="Arial" w:hAnsi="Arial"/>
          <w:b/>
          <w:bCs/>
          <w:color w:val="1A3A5C"/>
          <w:sz w:val="22"/>
          <w:szCs w:val="22"/>
        </w:rPr>
        <w:t xml:space="preserve">Khalifah: </w:t>
      </w:r>
      <w:r>
        <w:rPr>
          <w:rFonts w:ascii="Arial" w:cs="Arial" w:eastAsia="Arial" w:hAnsi="Arial"/>
          <w:color w:val="1C2833"/>
          <w:sz w:val="22"/>
          <w:szCs w:val="22"/>
        </w:rPr>
        <w:t xml:space="preserve">Perwakilan Allah di muka bumi (QS. Al-Baqarah: 30); landasan ontologis bagi tanggung jawab manusia dalam menjaga amanah kehidupan.</w:t>
      </w:r>
    </w:p>
    <w:p>
      <w:pPr>
        <w:spacing w:after="40" w:before="70"/>
      </w:pPr>
      <w:r>
        <w:rPr>
          <w:rFonts w:ascii="Arial" w:cs="Arial" w:eastAsia="Arial" w:hAnsi="Arial"/>
          <w:b/>
          <w:bCs/>
          <w:color w:val="1A3A5C"/>
          <w:sz w:val="22"/>
          <w:szCs w:val="22"/>
        </w:rPr>
        <w:t xml:space="preserve">Maqashid Syariah: </w:t>
      </w:r>
      <w:r>
        <w:rPr>
          <w:rFonts w:ascii="Arial" w:cs="Arial" w:eastAsia="Arial" w:hAnsi="Arial"/>
          <w:color w:val="1C2833"/>
          <w:sz w:val="22"/>
          <w:szCs w:val="22"/>
        </w:rPr>
        <w:t xml:space="preserve">Lima tujuan utama syariat Islam: hifzh al-din, hifzh al-nafs, hifzh al-'aql, hifzh al-nasl, hifzh al-mal (Al-Syatibi, 1997; Al-Zuhaili, 1986).</w:t>
      </w:r>
    </w:p>
    <w:p>
      <w:pPr>
        <w:spacing w:after="40" w:before="70"/>
      </w:pPr>
      <w:r>
        <w:rPr>
          <w:rFonts w:ascii="Arial" w:cs="Arial" w:eastAsia="Arial" w:hAnsi="Arial"/>
          <w:b/>
          <w:bCs/>
          <w:color w:val="1A3A5C"/>
          <w:sz w:val="22"/>
          <w:szCs w:val="22"/>
        </w:rPr>
        <w:t xml:space="preserve">Muhasabah: </w:t>
      </w:r>
      <w:r>
        <w:rPr>
          <w:rFonts w:ascii="Arial" w:cs="Arial" w:eastAsia="Arial" w:hAnsi="Arial"/>
          <w:color w:val="1C2833"/>
          <w:sz w:val="22"/>
          <w:szCs w:val="22"/>
        </w:rPr>
        <w:t xml:space="preserve">Praktik introspeksi diri yang jujur dan regular; mengevaluasi niat, tindakan, dan dampaknya (HR. al-Tirmidzi No. 2459); instrumen pengembangan akhlak yang fundamental.</w:t>
      </w:r>
    </w:p>
    <w:p>
      <w:pPr>
        <w:spacing w:after="40" w:before="70"/>
      </w:pPr>
      <w:r>
        <w:rPr>
          <w:rFonts w:ascii="Arial" w:cs="Arial" w:eastAsia="Arial" w:hAnsi="Arial"/>
          <w:b/>
          <w:bCs/>
          <w:color w:val="1A3A5C"/>
          <w:sz w:val="22"/>
          <w:szCs w:val="22"/>
        </w:rPr>
        <w:t xml:space="preserve">Muraqabah: </w:t>
      </w:r>
      <w:r>
        <w:rPr>
          <w:rFonts w:ascii="Arial" w:cs="Arial" w:eastAsia="Arial" w:hAnsi="Arial"/>
          <w:color w:val="1C2833"/>
          <w:sz w:val="22"/>
          <w:szCs w:val="22"/>
        </w:rPr>
        <w:t xml:space="preserve">Kesadaran konstan bahwa Allah senantiasa mengawasi setiap tindakan dan niat; padanan spiritual dari mindful practice (Epstein, 1999).</w:t>
      </w:r>
    </w:p>
    <w:p>
      <w:pPr>
        <w:spacing w:after="40" w:before="70"/>
      </w:pPr>
      <w:r>
        <w:rPr>
          <w:rFonts w:ascii="Arial" w:cs="Arial" w:eastAsia="Arial" w:hAnsi="Arial"/>
          <w:b/>
          <w:bCs/>
          <w:color w:val="1A3A5C"/>
          <w:sz w:val="22"/>
          <w:szCs w:val="22"/>
        </w:rPr>
        <w:t xml:space="preserve">Qaulan Ma'rufan: </w:t>
      </w:r>
      <w:r>
        <w:rPr>
          <w:rFonts w:ascii="Arial" w:cs="Arial" w:eastAsia="Arial" w:hAnsi="Arial"/>
          <w:color w:val="1C2833"/>
          <w:sz w:val="22"/>
          <w:szCs w:val="22"/>
        </w:rPr>
        <w:t xml:space="preserve">Perkataan yang baik (QS. Al-Baqarah: 83); standar komunikasi yang diperintahkan Al-Qur'an dan relevan langsung bagi komunikasi terapeutik.</w:t>
      </w:r>
    </w:p>
    <w:p>
      <w:pPr>
        <w:spacing w:after="40" w:before="70"/>
      </w:pPr>
      <w:r>
        <w:rPr>
          <w:rFonts w:ascii="Arial" w:cs="Arial" w:eastAsia="Arial" w:hAnsi="Arial"/>
          <w:b/>
          <w:bCs/>
          <w:color w:val="1A3A5C"/>
          <w:sz w:val="22"/>
          <w:szCs w:val="22"/>
        </w:rPr>
        <w:t xml:space="preserve">Rahmah: </w:t>
      </w:r>
      <w:r>
        <w:rPr>
          <w:rFonts w:ascii="Arial" w:cs="Arial" w:eastAsia="Arial" w:hAnsi="Arial"/>
          <w:color w:val="1C2833"/>
          <w:sz w:val="22"/>
          <w:szCs w:val="22"/>
        </w:rPr>
        <w:t xml:space="preserve">Kasih sayang; sifat Allah (Ar-Rahman, Ar-Rahim) yang menjadi teladan bagi empati klinis; prinsip rahmatan lil 'alamin (QS. Al-Anbiya: 107) melandasi PCC yang universal.</w:t>
      </w:r>
    </w:p>
    <w:p>
      <w:pPr>
        <w:spacing w:after="40" w:before="70"/>
      </w:pPr>
      <w:r>
        <w:rPr>
          <w:rFonts w:ascii="Arial" w:cs="Arial" w:eastAsia="Arial" w:hAnsi="Arial"/>
          <w:b/>
          <w:bCs/>
          <w:color w:val="1A3A5C"/>
          <w:sz w:val="22"/>
          <w:szCs w:val="22"/>
        </w:rPr>
        <w:t xml:space="preserve">Shabr: </w:t>
      </w:r>
      <w:r>
        <w:rPr>
          <w:rFonts w:ascii="Arial" w:cs="Arial" w:eastAsia="Arial" w:hAnsi="Arial"/>
          <w:color w:val="1C2833"/>
          <w:sz w:val="22"/>
          <w:szCs w:val="22"/>
        </w:rPr>
        <w:t xml:space="preserve">Kesabaran aktif yang ditopang shalat dan kedekatan kepada Allah (QS. Al-Baqarah: 153); sumber resiliensi profesional yang tidak habis-habisnya.</w:t>
      </w:r>
    </w:p>
    <w:p>
      <w:pPr>
        <w:spacing w:after="40" w:before="70"/>
      </w:pPr>
      <w:r>
        <w:rPr>
          <w:rFonts w:ascii="Arial" w:cs="Arial" w:eastAsia="Arial" w:hAnsi="Arial"/>
          <w:b/>
          <w:bCs/>
          <w:color w:val="1A3A5C"/>
          <w:sz w:val="22"/>
          <w:szCs w:val="22"/>
        </w:rPr>
        <w:t xml:space="preserve">Shidq: </w:t>
      </w:r>
      <w:r>
        <w:rPr>
          <w:rFonts w:ascii="Arial" w:cs="Arial" w:eastAsia="Arial" w:hAnsi="Arial"/>
          <w:color w:val="1C2833"/>
          <w:sz w:val="22"/>
          <w:szCs w:val="22"/>
        </w:rPr>
        <w:t xml:space="preserve">Kejujuran yang konsisten; sifat fundamental yang melandasi informed consent yang bermakna dan seluruh komunikasi terapeutik.</w:t>
      </w:r>
    </w:p>
    <w:p>
      <w:pPr>
        <w:spacing w:after="40" w:before="70"/>
      </w:pPr>
      <w:r>
        <w:rPr>
          <w:rFonts w:ascii="Arial" w:cs="Arial" w:eastAsia="Arial" w:hAnsi="Arial"/>
          <w:b/>
          <w:bCs/>
          <w:color w:val="1A3A5C"/>
          <w:sz w:val="22"/>
          <w:szCs w:val="22"/>
        </w:rPr>
        <w:t xml:space="preserve">Syura: </w:t>
      </w:r>
      <w:r>
        <w:rPr>
          <w:rFonts w:ascii="Arial" w:cs="Arial" w:eastAsia="Arial" w:hAnsi="Arial"/>
          <w:color w:val="1C2833"/>
          <w:sz w:val="22"/>
          <w:szCs w:val="22"/>
        </w:rPr>
        <w:t xml:space="preserve">Musyawarah (QS. Asy-Syura: 38); landasan teologis bagi Shared Decision-Making dalam praktik klinis.</w:t>
      </w:r>
    </w:p>
    <w:p>
      <w:pPr>
        <w:spacing w:after="40" w:before="70"/>
      </w:pPr>
      <w:r>
        <w:rPr>
          <w:rFonts w:ascii="Arial" w:cs="Arial" w:eastAsia="Arial" w:hAnsi="Arial"/>
          <w:b/>
          <w:bCs/>
          <w:color w:val="1A3A5C"/>
          <w:sz w:val="22"/>
          <w:szCs w:val="22"/>
        </w:rPr>
        <w:t xml:space="preserve">Ta'aruf: </w:t>
      </w:r>
      <w:r>
        <w:rPr>
          <w:rFonts w:ascii="Arial" w:cs="Arial" w:eastAsia="Arial" w:hAnsi="Arial"/>
          <w:color w:val="1C2833"/>
          <w:sz w:val="22"/>
          <w:szCs w:val="22"/>
        </w:rPr>
        <w:t xml:space="preserve">Saling mengenal antar manusia yang beragam (QS. Al-Hujurat: 13); landasan teologis bagi komunikasi lintas budaya.</w:t>
      </w:r>
    </w:p>
    <w:p>
      <w:pPr>
        <w:spacing w:after="40" w:before="70"/>
      </w:pPr>
      <w:r>
        <w:rPr>
          <w:rFonts w:ascii="Arial" w:cs="Arial" w:eastAsia="Arial" w:hAnsi="Arial"/>
          <w:b/>
          <w:bCs/>
          <w:color w:val="1A3A5C"/>
          <w:sz w:val="22"/>
          <w:szCs w:val="22"/>
        </w:rPr>
        <w:t xml:space="preserve">Tawadhu: </w:t>
      </w:r>
      <w:r>
        <w:rPr>
          <w:rFonts w:ascii="Arial" w:cs="Arial" w:eastAsia="Arial" w:hAnsi="Arial"/>
          <w:color w:val="1C2833"/>
          <w:sz w:val="22"/>
          <w:szCs w:val="22"/>
        </w:rPr>
        <w:t xml:space="preserve">Kerendahan hati yang tulus; mengakui keterbatasan kompetensi dan karunia Allah atas kemampuan yang dimiliki; penawar bagi kesombongan klinis.</w:t>
      </w:r>
    </w:p>
    <w:p>
      <w:pPr>
        <w:spacing w:after="40" w:before="70"/>
      </w:pPr>
      <w:r>
        <w:rPr>
          <w:rFonts w:ascii="Arial" w:cs="Arial" w:eastAsia="Arial" w:hAnsi="Arial"/>
          <w:b/>
          <w:bCs/>
          <w:color w:val="1A3A5C"/>
          <w:sz w:val="22"/>
          <w:szCs w:val="22"/>
        </w:rPr>
        <w:t xml:space="preserve">Tazkiyatun Nafs: </w:t>
      </w:r>
      <w:r>
        <w:rPr>
          <w:rFonts w:ascii="Arial" w:cs="Arial" w:eastAsia="Arial" w:hAnsi="Arial"/>
          <w:color w:val="1C2833"/>
          <w:sz w:val="22"/>
          <w:szCs w:val="22"/>
        </w:rPr>
        <w:t xml:space="preserve">Penyucian jiwa; proses pembentukan akhlak melalui empat tahap: takhalli, tahalli, mujahadah, tajalli (Al-Ghazali).</w:t>
      </w:r>
    </w:p>
    <w:p>
      <w:pPr>
        <w:spacing w:after="40" w:before="70"/>
      </w:pPr>
      <w:r>
        <w:rPr>
          <w:rFonts w:ascii="Arial" w:cs="Arial" w:eastAsia="Arial" w:hAnsi="Arial"/>
          <w:b/>
          <w:bCs/>
          <w:color w:val="1A3A5C"/>
          <w:sz w:val="22"/>
          <w:szCs w:val="22"/>
        </w:rPr>
        <w:t xml:space="preserve">Thabib Rabbani: </w:t>
      </w:r>
      <w:r>
        <w:rPr>
          <w:rFonts w:ascii="Arial" w:cs="Arial" w:eastAsia="Arial" w:hAnsi="Arial"/>
          <w:color w:val="1C2833"/>
          <w:sz w:val="22"/>
          <w:szCs w:val="22"/>
        </w:rPr>
        <w:t xml:space="preserve">Dokter yang berorientasi kepada Allah — yang menggabungkan kompetensi keilmuan dan keterampilan klinis tinggi dengan akhlak mulia dan kesadaran ilahiah yang konsisten; visi karakter yang menjadi tujuan buku ini.</w:t>
      </w:r>
    </w:p>
    <w:p>
      <w:pPr>
        <w:spacing w:after="40" w:before="70"/>
      </w:pPr>
      <w:r>
        <w:rPr>
          <w:rFonts w:ascii="Arial" w:cs="Arial" w:eastAsia="Arial" w:hAnsi="Arial"/>
          <w:b/>
          <w:bCs/>
          <w:color w:val="1A3A5C"/>
          <w:sz w:val="22"/>
          <w:szCs w:val="22"/>
        </w:rPr>
        <w:t xml:space="preserve">Ukhuwah: </w:t>
      </w:r>
      <w:r>
        <w:rPr>
          <w:rFonts w:ascii="Arial" w:cs="Arial" w:eastAsia="Arial" w:hAnsi="Arial"/>
          <w:color w:val="1C2833"/>
          <w:sz w:val="22"/>
          <w:szCs w:val="22"/>
        </w:rPr>
        <w:t xml:space="preserve">Persaudaraan antar sesama Muslim (QS. Al-Hujurat: 10); landasan teologis bagi kolaborasi interprofesional yang sehat.</w:t>
      </w:r>
    </w:p>
    <w:p>
      <w:r>
        <w:br w:type="page"/>
      </w:r>
    </w:p>
    <w:p>
      <w:pPr>
        <w:pStyle w:val="Heading1"/>
        <w:spacing w:after="220" w:before="440"/>
      </w:pPr>
      <w:r>
        <w:rPr>
          <w:rFonts w:ascii="Arial" w:cs="Arial" w:eastAsia="Arial" w:hAnsi="Arial"/>
          <w:b/>
          <w:bCs/>
          <w:color w:val="1A3A5C"/>
          <w:sz w:val="40"/>
          <w:szCs w:val="40"/>
        </w:rPr>
        <w:t xml:space="preserve">BIOGRAFI PENULIS</w:t>
      </w:r>
    </w:p>
    <w:p>
      <w:pPr>
        <w:spacing w:after="140" w:before="100" w:line="380" w:lineRule="auto"/>
        <w:jc w:val="both"/>
      </w:pPr>
      <w:r>
        <w:rPr>
          <w:rFonts w:ascii="Arial" w:cs="Arial" w:eastAsia="Arial" w:hAnsi="Arial"/>
          <w:color w:val="1C2833"/>
          <w:sz w:val="22"/>
          <w:szCs w:val="22"/>
        </w:rPr>
        <w:t xml:space="preserve">Dr.dr. Budi Siswanto, Sp.OG., Subsp.Obginsos., SH., S.Kom. lahir di Blitar pada 08 Oktober 1955. Menyelesaikan pendidikan dokter (S1 Kedokteran) di Fakultas Kedokteran Universitas Airlangga (FK UNAIR) Surabaya pada 1982. Setelah lulus, memulai pengabdian sebagai dokter di lingkungan Dinas Kesehatan Kabupaten Pacitan sejak 1 Februari 1983, diawali sebagai Kepala Puskesmas Bandar. Selama masa tugas di Pacitan hingga akhir 1989, beliau menjalani sejumlah penugasan berpindah di beberapa Puskesmas lain dalam lingkungan Dinas Kesehatan Kabupaten Pacitan. Pengalaman melayani masyarakat petani, nelayan, dan masyarakat pelosok di berbagai wilayah Pacitan dengan segala keterbatasan fasilitas menanamkan pemahaman mendalam tentang realitas kesehatan masyarakat Indonesia yang sesungguhnya.</w:t>
      </w:r>
    </w:p>
    <w:p>
      <w:pPr>
        <w:spacing w:after="140" w:before="100" w:line="380" w:lineRule="auto"/>
        <w:jc w:val="both"/>
      </w:pPr>
      <w:r>
        <w:rPr>
          <w:rFonts w:ascii="Arial" w:cs="Arial" w:eastAsia="Arial" w:hAnsi="Arial"/>
          <w:color w:val="1C2833"/>
          <w:sz w:val="22"/>
          <w:szCs w:val="22"/>
        </w:rPr>
        <w:t xml:space="preserve">Memulai pendidikan spesialisasi Obstetri dan Ginekologi (Sp.OG) pada 1 Januari 1990 di FK UNAIR Surabaya — dengan pendidikan pendahuluan di RSUD Dr. Saiful Anwar Malang dan penyelesaian di RSUD Dr. Soetomo Surabaya — lulus 1996. Menjalani Wajib Kerja Spesialis di RSUD Maros, Sulawesi Selatan (1997-1998), kemudian bertugas di RSUD Dr. Saiful Anwar Malang hingga pensiun sebagai ASN pada 2015, dengan jabatan terakhir sebagai Wakil Direktur Pendidikan dan Pengembangan Profesi.</w:t>
      </w:r>
    </w:p>
    <w:p>
      <w:pPr>
        <w:spacing w:after="140" w:before="100" w:line="380" w:lineRule="auto"/>
        <w:jc w:val="both"/>
      </w:pPr>
      <w:r>
        <w:rPr>
          <w:rFonts w:ascii="Arial" w:cs="Arial" w:eastAsia="Arial" w:hAnsi="Arial"/>
          <w:color w:val="1C2833"/>
          <w:sz w:val="22"/>
          <w:szCs w:val="22"/>
        </w:rPr>
        <w:t xml:space="preserve">Pendidikan doktor (S3) diselesaikan pada 2005. Subspesialisasi Obstetri Ginekologi Sosial (Subsp.Obginsos) dari HOGSI Center Malang diselesaikan pada 2012. Melengkapi profil lintas disiplin: S1 Ilmu Hukum dari Universitas Wisnuwardhana Malang (lulus 2016), disumpah sebagai Advokat pada 2019, dan pada 2025 menyelesaikan S1 Teknik Informatika melalui Binus Online Learning (S.Kom.) — mencerminkan semangat belajar sepanjang hayat yang benar-benar dihayati.</w:t>
      </w:r>
    </w:p>
    <w:p>
      <w:pPr>
        <w:spacing w:after="140" w:before="100" w:line="380" w:lineRule="auto"/>
        <w:jc w:val="both"/>
      </w:pPr>
      <w:r>
        <w:rPr>
          <w:rFonts w:ascii="Arial" w:cs="Arial" w:eastAsia="Arial" w:hAnsi="Arial"/>
          <w:color w:val="1C2833"/>
          <w:sz w:val="22"/>
          <w:szCs w:val="22"/>
        </w:rPr>
        <w:t xml:space="preserve">Buku 'Dokter yang Utuh: Integrasi Ilmu Kedokteran dan Akhlak Islami' lahir dari perpaduan pengalaman klinis puluhan tahun di berbagai pelosok Indonesia, kepekaan hukum seorang advokat, dan kecakapan analitis seorang doktor ilmu kesehatan. Buku ini dipersembahkan khusus untuk pengembangan mata kuliah Humaniora Kedokteran di Fakultas Kedokteran dan Ilmu Kesehatan UIN Maulana Malik Ibrahim Malang.</w:t>
      </w:r>
    </w:p>
    <w:p>
      <w:r>
        <w:br w:type="page"/>
      </w:r>
    </w:p>
    <w:p>
      <w:pPr>
        <w:pStyle w:val="Heading1"/>
        <w:spacing w:after="220" w:before="440"/>
      </w:pPr>
      <w:r>
        <w:rPr>
          <w:rFonts w:ascii="Arial" w:cs="Arial" w:eastAsia="Arial" w:hAnsi="Arial"/>
          <w:b/>
          <w:bCs/>
          <w:color w:val="1A3A5C"/>
          <w:sz w:val="40"/>
          <w:szCs w:val="40"/>
        </w:rPr>
        <w:t xml:space="preserve">SINOPSIS</w:t>
      </w:r>
    </w:p>
    <w:p>
      <w:pPr>
        <w:spacing w:after="140" w:before="100" w:line="380" w:lineRule="auto"/>
        <w:jc w:val="both"/>
      </w:pPr>
      <w:r>
        <w:rPr>
          <w:rFonts w:ascii="Arial" w:cs="Arial" w:eastAsia="Arial" w:hAnsi="Arial"/>
          <w:color w:val="1C2833"/>
          <w:sz w:val="22"/>
          <w:szCs w:val="22"/>
        </w:rPr>
        <w:t xml:space="preserve">'Dokter yang Utuh: Integrasi Ilmu Kedokteran dan Akhlak Islami' menjawab pertanyaan mendasar yang sering terlupakan dalam pendidikan kedokteran: apa artinya menjadi dokter yang benar-benar baik — bukan hanya kompeten secara keilmuan, tetapi juga manusiawi dan berakhlak mulia?</w:t>
      </w:r>
    </w:p>
    <w:p>
      <w:pPr>
        <w:spacing w:after="140" w:before="100" w:line="380" w:lineRule="auto"/>
        <w:jc w:val="both"/>
      </w:pPr>
      <w:r>
        <w:rPr>
          <w:rFonts w:ascii="Arial" w:cs="Arial" w:eastAsia="Arial" w:hAnsi="Arial"/>
          <w:color w:val="1C2833"/>
          <w:sz w:val="22"/>
          <w:szCs w:val="22"/>
        </w:rPr>
        <w:t xml:space="preserve">Buku ini secara khusus dirancang untuk lingkungan pendidikan kedokteran Islam, mengintegrasikan secara organik dua tradisi keilmuan: kerangka akademik humaniora kedokteran kontemporer — bioetika Beauchamp &amp; Childress, EBM Sackett, Person-Centered Care Mead &amp; Bower, protokol SPIKES dan Calgary-Cambridge, instrumen PHQ-9 dan GAD-7, Physician Charter — dengan kekayaan tradisi keilmuan Islam: warisan Ibnu Sina, Al-Razi, dan Ibnu Nafis; kerangka maqashid syariah Al-Syatibi; kaidah fiqih kedokteran; serta terjemahan ayat Al-Qur'an dan hadits shahih yang relevan pada setiap sub-bab pembahasan.</w:t>
      </w:r>
    </w:p>
    <w:p>
      <w:pPr>
        <w:spacing w:after="140" w:before="100" w:line="380" w:lineRule="auto"/>
        <w:jc w:val="both"/>
      </w:pPr>
      <w:r>
        <w:rPr>
          <w:rFonts w:ascii="Arial" w:cs="Arial" w:eastAsia="Arial" w:hAnsi="Arial"/>
          <w:color w:val="1C2833"/>
          <w:sz w:val="22"/>
          <w:szCs w:val="22"/>
        </w:rPr>
        <w:t xml:space="preserve">Melalui sembilan bab yang komprehensif dan progresif, buku ini membawa pembaca dari pertanyaan filosofis terdalam (ontologi dengan konsep khalifah, epistemologi dengan adab thalabul 'ilmi, aksiologi dengan maqashid syariah), melalui bioetika dan fiqh kedokteran, komunikasi terapeutik yang dilandasi adab Islam, psikologi klinis dengan instrumen tervalidasi, determinan sosial kesehatan dan keadilan ('adl), kepemimpinan profesional berbasis itqan dan ukhuwah, hingga puncaknya di BAB 8 yang membahas akhlak sebagai sumber kemanusiaan tertinggi dalam kedokteran. BAB 9 menyajikan lima skenario klinis, tiga studi kasus, dan lima latihan muhasabah berbasis konteks Indonesia yang otentik.</w:t>
      </w:r>
    </w:p>
    <w:p>
      <w:pPr>
        <w:spacing w:after="140" w:before="100" w:line="380" w:lineRule="auto"/>
        <w:jc w:val="both"/>
      </w:pPr>
      <w:r>
        <w:rPr>
          <w:rFonts w:ascii="Arial" w:cs="Arial" w:eastAsia="Arial" w:hAnsi="Arial"/>
          <w:color w:val="1C2833"/>
          <w:sz w:val="22"/>
          <w:szCs w:val="22"/>
        </w:rPr>
        <w:t xml:space="preserve">Seluruh 87 referensi akademik telah diverifikasi aktif per Juli 2026, dengan 38 di antaranya dilengkapi DOI permanen. URL hanya dicantumkan apabila telah diverifikasi — tanpa URL fiktif atau URL yang tidak dapat dipastikan aktif. Buku ini dipersembahkan untuk Fakultas Kedokteran dan Ilmu Kesehatan UIN Maulana Malik Ibrahim Malang, dengan harapan melahirkan generasi thabib rabbani — dokter yang utuh, kompeten, manusiawi, dan kokoh akhlaknya karena Allah SWT.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20" w:before="440"/>
      <w:outlineLvl w:val="0"/>
    </w:pPr>
    <w:rPr>
      <w:rFonts w:ascii="Arial" w:cs="Arial" w:eastAsia="Arial" w:hAnsi="Arial"/>
      <w:b/>
      <w:bCs/>
      <w:color w:val="1A3A5C"/>
      <w:sz w:val="40"/>
      <w:szCs w:val="40"/>
    </w:rPr>
  </w:style>
  <w:style w:type="paragraph" w:styleId="Heading2">
    <w:name w:val="Heading 2"/>
    <w:basedOn w:val="Normal"/>
    <w:next w:val="Normal"/>
    <w:qFormat/>
    <w:pPr>
      <w:spacing w:after="140" w:before="300"/>
      <w:outlineLvl w:val="1"/>
    </w:pPr>
    <w:rPr>
      <w:rFonts w:ascii="Arial" w:cs="Arial" w:eastAsia="Arial" w:hAnsi="Arial"/>
      <w:b/>
      <w:bCs/>
      <w:color w:val="1F5F8B"/>
      <w:sz w:val="30"/>
      <w:szCs w:val="30"/>
    </w:rPr>
  </w:style>
  <w:style w:type="paragraph" w:styleId="Heading3">
    <w:name w:val="Heading 3"/>
    <w:basedOn w:val="Normal"/>
    <w:next w:val="Normal"/>
    <w:qFormat/>
    <w:pPr>
      <w:spacing w:after="100" w:before="220"/>
      <w:outlineLvl w:val="2"/>
    </w:pPr>
    <w:rPr>
      <w:rFonts w:ascii="Arial" w:cs="Arial" w:eastAsia="Arial" w:hAnsi="Arial"/>
      <w:b/>
      <w:bCs/>
      <w:color w:val="0E7C7B"/>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2026-07-21T06:15:37.029Z</dcterms:created>
  <dcterms:modified xsi:type="dcterms:W3CDTF">2026-07-21T06:15:37.044Z</dcterms:modified>
</cp:coreProperties>
</file>

<file path=docProps/custom.xml><?xml version="1.0" encoding="utf-8"?>
<Properties xmlns="http://schemas.openxmlformats.org/officeDocument/2006/custom-properties" xmlns:vt="http://schemas.openxmlformats.org/officeDocument/2006/docPropsVTypes"/>
</file>